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70" w:rsidRDefault="008A5670" w:rsidP="008A5670">
      <w:pPr>
        <w:pStyle w:val="Heading1"/>
        <w:jc w:val="center"/>
        <w:rPr>
          <w:lang w:val="ru-RU"/>
        </w:rPr>
      </w:pPr>
      <w:r w:rsidRPr="008A5670">
        <w:rPr>
          <w:lang w:val="ru-RU"/>
        </w:rPr>
        <w:t xml:space="preserve">Поручение Министра труда и социальной защиты М.А. </w:t>
      </w:r>
      <w:proofErr w:type="spellStart"/>
      <w:r w:rsidRPr="008A5670">
        <w:rPr>
          <w:lang w:val="ru-RU"/>
        </w:rPr>
        <w:t>Топилина</w:t>
      </w:r>
      <w:proofErr w:type="spellEnd"/>
      <w:r w:rsidRPr="008A5670">
        <w:rPr>
          <w:lang w:val="ru-RU"/>
        </w:rPr>
        <w:t xml:space="preserve"> № 203 </w:t>
      </w:r>
    </w:p>
    <w:p w:rsidR="00773DE9" w:rsidRPr="008A5670" w:rsidRDefault="008A5670" w:rsidP="008A5670">
      <w:pPr>
        <w:pStyle w:val="Heading1"/>
        <w:jc w:val="center"/>
        <w:rPr>
          <w:lang w:val="ru-RU"/>
        </w:rPr>
      </w:pPr>
      <w:r w:rsidRPr="008A5670">
        <w:rPr>
          <w:lang w:val="ru-RU"/>
        </w:rPr>
        <w:t>от 26 декабря 2018 г.</w:t>
      </w:r>
    </w:p>
    <w:p w:rsidR="00773DE9" w:rsidRPr="008A5670" w:rsidRDefault="008A5670" w:rsidP="008A5670">
      <w:pPr>
        <w:pStyle w:val="Heading2"/>
        <w:jc w:val="center"/>
        <w:rPr>
          <w:lang w:val="ru-RU"/>
        </w:rPr>
      </w:pPr>
      <w:r w:rsidRPr="008A5670">
        <w:rPr>
          <w:lang w:val="ru-RU"/>
        </w:rPr>
        <w:t>Заместителям Министра, помощникам (советникам) Министра, директорам департаментов,</w:t>
      </w:r>
      <w:r w:rsidRPr="008A5670">
        <w:rPr>
          <w:lang w:val="ru-RU"/>
        </w:rPr>
        <w:br/>
        <w:t xml:space="preserve">А.С. </w:t>
      </w:r>
      <w:proofErr w:type="spellStart"/>
      <w:r w:rsidRPr="008A5670">
        <w:rPr>
          <w:lang w:val="ru-RU"/>
        </w:rPr>
        <w:t>Кигиму</w:t>
      </w:r>
      <w:proofErr w:type="spellEnd"/>
      <w:r w:rsidRPr="008A5670">
        <w:rPr>
          <w:lang w:val="ru-RU"/>
        </w:rPr>
        <w:t xml:space="preserve">, А.В. Дроздову, В.Л. Вуколову, М.А. </w:t>
      </w:r>
      <w:proofErr w:type="spellStart"/>
      <w:r w:rsidRPr="008A5670">
        <w:rPr>
          <w:lang w:val="ru-RU"/>
        </w:rPr>
        <w:t>Дымочке</w:t>
      </w:r>
      <w:proofErr w:type="spellEnd"/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По итогам моей встречи с 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участниками (финалистами) Всероссийского конкурса «Доброволец России», прошедшей в рамках Международного форума добровольцев поручаю:</w:t>
      </w:r>
    </w:p>
    <w:p w:rsidR="00773DE9" w:rsidRPr="008A5670" w:rsidRDefault="008A5670" w:rsidP="008A5670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670">
        <w:rPr>
          <w:rFonts w:ascii="Times New Roman" w:hAnsi="Times New Roman" w:cs="Times New Roman"/>
          <w:sz w:val="28"/>
          <w:szCs w:val="28"/>
          <w:lang w:val="ru-RU"/>
        </w:rPr>
        <w:t>Департаменту информационных технологий и обеспечения проектной деятельности (Я.В.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Омелай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>), Департаменту по делам инвалидов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(Д.В.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Лигомина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>), Департаменту демографической политики и социальной защиты населения (М.К.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Антонова) проработать вопрос привлечения волонтеров в деятельность по оказанию социальных услуг, включая дистанционные программы взаимодействия и поддержки людей с 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инвалидностью (на основе </w:t>
      </w:r>
      <w:r w:rsidRPr="008A5670">
        <w:rPr>
          <w:rFonts w:ascii="Times New Roman" w:hAnsi="Times New Roman" w:cs="Times New Roman"/>
          <w:sz w:val="28"/>
          <w:szCs w:val="28"/>
        </w:rPr>
        <w:t>IT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-платформы</w:t>
      </w:r>
      <w:r w:rsidRPr="008A5670">
        <w:rPr>
          <w:rFonts w:ascii="Times New Roman" w:hAnsi="Times New Roman" w:cs="Times New Roman"/>
          <w:sz w:val="28"/>
          <w:szCs w:val="28"/>
        </w:rPr>
        <w:t> SOL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). При необходимости провести соответствующие консультации с Минэкономразвития России. При проработке данного вопроса учитывать практику взаимодействия ФСС России с проектом «</w:t>
      </w:r>
      <w:r w:rsidRPr="008A5670">
        <w:rPr>
          <w:rFonts w:ascii="Times New Roman" w:hAnsi="Times New Roman" w:cs="Times New Roman"/>
          <w:sz w:val="28"/>
          <w:szCs w:val="28"/>
        </w:rPr>
        <w:t>Global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670">
        <w:rPr>
          <w:rFonts w:ascii="Times New Roman" w:hAnsi="Times New Roman" w:cs="Times New Roman"/>
          <w:sz w:val="28"/>
          <w:szCs w:val="28"/>
        </w:rPr>
        <w:t>Care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670">
        <w:rPr>
          <w:rFonts w:ascii="Times New Roman" w:hAnsi="Times New Roman" w:cs="Times New Roman"/>
          <w:sz w:val="28"/>
          <w:szCs w:val="28"/>
        </w:rPr>
        <w:t>League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5670">
        <w:rPr>
          <w:rFonts w:ascii="Times New Roman" w:hAnsi="Times New Roman" w:cs="Times New Roman"/>
          <w:sz w:val="28"/>
          <w:szCs w:val="28"/>
        </w:rPr>
        <w:t>–  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апрель</w:t>
      </w:r>
      <w:proofErr w:type="spellEnd"/>
      <w:proofErr w:type="gramEnd"/>
      <w:r w:rsidRPr="008A5670">
        <w:rPr>
          <w:rFonts w:ascii="Times New Roman" w:hAnsi="Times New Roman" w:cs="Times New Roman"/>
          <w:sz w:val="28"/>
          <w:szCs w:val="28"/>
        </w:rPr>
        <w:t xml:space="preserve"> 201</w:t>
      </w:r>
      <w:r w:rsidRPr="008A5670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</w:p>
    <w:p w:rsidR="00773DE9" w:rsidRPr="008A5670" w:rsidRDefault="008A5670" w:rsidP="008A5670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670">
        <w:rPr>
          <w:rFonts w:ascii="Times New Roman" w:hAnsi="Times New Roman" w:cs="Times New Roman"/>
          <w:sz w:val="28"/>
          <w:szCs w:val="28"/>
          <w:lang w:val="ru-RU"/>
        </w:rPr>
        <w:t>Департаменту по делам инвалидов (Д.В.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Лигомина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>) проработать возможность внедрения образовательного модуля по взаимодействию с инклюзивными группами в образовательную программу обучения туристических операторов, обсудив данную инициативу с Министерс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твом науки и высшего образования Российской Федерации (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России) и Федеральным агентством по туризму (Ростуризм). 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Start"/>
      <w:r w:rsidRPr="008A5670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proofErr w:type="gram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</w:p>
    <w:p w:rsidR="00773DE9" w:rsidRPr="008A5670" w:rsidRDefault="008A5670" w:rsidP="008A5670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670">
        <w:rPr>
          <w:rFonts w:ascii="Times New Roman" w:hAnsi="Times New Roman" w:cs="Times New Roman"/>
          <w:sz w:val="28"/>
          <w:szCs w:val="28"/>
          <w:lang w:val="ru-RU"/>
        </w:rPr>
        <w:t>Департаменту занятости населения (М.В.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Кирсанов), Департаменту по делам инвалидов (Д.В.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Лигомина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>) представи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ть на рассмотрение Министра труда и социальной защиты Российской Федерации предложения по стимулированию работодателей трудоустраивать людей с инвалидностью с учетом предложений и материалов, представленных организационным комитетом проекта «Мы понимаем др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уг друга» (</w:t>
      </w:r>
      <w:proofErr w:type="gram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8A567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Ярославль). 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DE9" w:rsidRPr="008A5670" w:rsidRDefault="008A5670" w:rsidP="008A5670">
      <w:pPr>
        <w:pStyle w:val="a3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Департаменту по делам инвалидов (Д.В.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Лигомина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>) совместно с Фондом социального страхования Российской Федерации (А.С.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Кигим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>), Федеральным бюро медико-социальной экспертизы (М.А.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Дымочка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>) и с Межрегиональной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молодежной общественной организацией «Инклюзивный ресурсный центр» (А.С.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Транцев) провести съезд для незрячих владельцев собак-проводников и незрячих, желающих получить данное техническое средство реабилитации, но не знающих специфики его получения, испол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ьзования и ухода. </w:t>
      </w:r>
      <w:proofErr w:type="gramEnd"/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ноябрь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DE9" w:rsidRPr="008A5670" w:rsidRDefault="008A5670" w:rsidP="008A5670">
      <w:pPr>
        <w:pStyle w:val="a3"/>
        <w:numPr>
          <w:ilvl w:val="0"/>
          <w:numId w:val="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Департаменту по делам инвалидов (Д.В.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Лигомина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), Департаменту 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lastRenderedPageBreak/>
        <w:t>демографической политики и социальной защиты населения (М.К.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Антонова) во взаимодействии с оргкомитетом проекта «Я помогу» подготовить программу и мет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одическое пособие по организации работы с родителями, воспитывающими детей с инвалидностью, повышению их педагогической компетентности, а также по организации развивающих занятий для детей с инвалидностью и повышению уровня профессиональных компетенций раб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отников, уполномоченных проводить</w:t>
      </w:r>
      <w:proofErr w:type="gramEnd"/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данные занятия, проработав указанный вопрос с Министерством просвещения Российской Федерации (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России). 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июнь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DE9" w:rsidRPr="008A5670" w:rsidRDefault="008A5670" w:rsidP="008A5670">
      <w:pPr>
        <w:pStyle w:val="a3"/>
        <w:numPr>
          <w:ilvl w:val="0"/>
          <w:numId w:val="6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670">
        <w:rPr>
          <w:rFonts w:ascii="Times New Roman" w:hAnsi="Times New Roman" w:cs="Times New Roman"/>
          <w:sz w:val="28"/>
          <w:szCs w:val="28"/>
          <w:lang w:val="ru-RU"/>
        </w:rPr>
        <w:t>Департаменту демографической политики и социальной защиты населения (М.К.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Антоно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ва) проработать вопрос расширения мер поддержки «серебряного» добровольчества, в том числе используя механизм предоставления субсидий социально ориентированным некоммерческим организациям на развитие данного направления. 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февраль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DE9" w:rsidRPr="008A5670" w:rsidRDefault="008A5670" w:rsidP="008A5670">
      <w:pPr>
        <w:pStyle w:val="a3"/>
        <w:numPr>
          <w:ilvl w:val="0"/>
          <w:numId w:val="7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670">
        <w:rPr>
          <w:rFonts w:ascii="Times New Roman" w:hAnsi="Times New Roman" w:cs="Times New Roman"/>
          <w:sz w:val="28"/>
          <w:szCs w:val="28"/>
          <w:lang w:val="ru-RU"/>
        </w:rPr>
        <w:t>Департам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енту по делам инвалидов (Д.В.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Лигомина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>) рассмотреть целесообразность внесения в программы профессионального образования обязательную общекультурную компетенцию «</w:t>
      </w:r>
      <w:proofErr w:type="gramStart"/>
      <w:r w:rsidRPr="008A5670">
        <w:rPr>
          <w:rFonts w:ascii="Times New Roman" w:hAnsi="Times New Roman" w:cs="Times New Roman"/>
          <w:sz w:val="28"/>
          <w:szCs w:val="28"/>
        </w:rPr>
        <w:t>C</w:t>
      </w:r>
      <w:proofErr w:type="spellStart"/>
      <w:proofErr w:type="gramEnd"/>
      <w:r w:rsidRPr="008A5670">
        <w:rPr>
          <w:rFonts w:ascii="Times New Roman" w:hAnsi="Times New Roman" w:cs="Times New Roman"/>
          <w:sz w:val="28"/>
          <w:szCs w:val="28"/>
          <w:lang w:val="ru-RU"/>
        </w:rPr>
        <w:t>пособность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использовать базовые дефектологические знания в социальной и профессиональной сфера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х» и обеспечивающего ее учебного модуля «Основы дефектологии» (запросив соответствующие материалы у оргкомитета проекта «Зонт»), что должно способствовать повышению инклюзивной компетентности населения. По результатам рассмотрения обратиться в Министерства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науки и высшего образования Российской Федерации (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России) по вопросу дальнейшего (межведомственного) обсуждения данного вопроса. 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апрель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DE9" w:rsidRPr="008A5670" w:rsidRDefault="008A5670" w:rsidP="008A5670">
      <w:pPr>
        <w:pStyle w:val="a3"/>
        <w:numPr>
          <w:ilvl w:val="0"/>
          <w:numId w:val="8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Департаменту по делам инвалидов (Д.В. 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Лигомина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>) проработать вопрос о целесообразности со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здания в субъектах Российской Федерации на базе государственных реабилитационных центров (для детей с ОВЗ) площадок для реализации терапевтических практик (кинестетическая, танцевальная, 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арт-терапия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экологичекая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), направленных на адаптацию и реабилитацию 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детей с инвалидностью. 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670">
        <w:rPr>
          <w:rFonts w:ascii="Times New Roman" w:hAnsi="Times New Roman" w:cs="Times New Roman"/>
          <w:sz w:val="28"/>
          <w:szCs w:val="28"/>
          <w:lang w:val="ru-RU"/>
        </w:rPr>
        <w:t>По итогам проработки вопроса при необходимости проинформировать субъекты Российской Федерации в отношении данного вопроса.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май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DE9" w:rsidRPr="008A5670" w:rsidRDefault="008A5670" w:rsidP="008A5670">
      <w:pPr>
        <w:pStyle w:val="a3"/>
        <w:numPr>
          <w:ilvl w:val="0"/>
          <w:numId w:val="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Департаменту занятости населения (М.В.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Кирсанов), Департаменту пенсионного обеспечения 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(И.М.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Игнатьев) проработать варианты участия лиц 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предпенсионного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возраста, ведущих активную общественную и волонтерскую деятельность, в Специальной программе профессионального обучения и дополнительного профессионального образования граждан 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предпенсионного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возраста на период до 2024 года, а также подготовить возможные предложения по выявлению наиболее активных «серебряных» добровольцев, заслуживающих переобучение, в том числе рассмотрев возможность выявления</w:t>
      </w:r>
      <w:proofErr w:type="gramEnd"/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данных людей с помощью данных единой информационн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ой системы «Добровольцы России» (</w:t>
      </w:r>
      <w:proofErr w:type="spellStart"/>
      <w:r w:rsidR="00773DE9" w:rsidRPr="008A5670">
        <w:rPr>
          <w:rFonts w:ascii="Times New Roman" w:hAnsi="Times New Roman" w:cs="Times New Roman"/>
          <w:sz w:val="28"/>
          <w:szCs w:val="28"/>
        </w:rPr>
        <w:fldChar w:fldCharType="begin"/>
      </w:r>
      <w:r w:rsidR="00773DE9" w:rsidRPr="008A5670">
        <w:rPr>
          <w:rFonts w:ascii="Times New Roman" w:hAnsi="Times New Roman" w:cs="Times New Roman"/>
          <w:sz w:val="28"/>
          <w:szCs w:val="28"/>
        </w:rPr>
        <w:instrText>HYPERLINK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https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vk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com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away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php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?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to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=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http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%3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A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%2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%2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4%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1%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0%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2%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EB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FC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6%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FB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0%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1%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1%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8%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8.%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0%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4&amp;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post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=26560412_6652&amp;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cc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_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key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=" \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h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fldChar w:fldCharType="separate"/>
      </w:r>
      <w:r w:rsidRPr="008A5670">
        <w:rPr>
          <w:rStyle w:val="InternetLink"/>
          <w:rFonts w:ascii="Times New Roman" w:hAnsi="Times New Roman" w:cs="Times New Roman"/>
          <w:sz w:val="28"/>
          <w:szCs w:val="28"/>
          <w:lang w:val="ru-RU"/>
        </w:rPr>
        <w:t>добровольцыроссии</w:t>
      </w:r>
      <w:proofErr w:type="gramStart"/>
      <w:r w:rsidRPr="008A5670">
        <w:rPr>
          <w:rStyle w:val="InternetLink"/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 w:rsidRPr="008A5670">
        <w:rPr>
          <w:rStyle w:val="InternetLink"/>
          <w:rFonts w:ascii="Times New Roman" w:hAnsi="Times New Roman" w:cs="Times New Roman"/>
          <w:sz w:val="28"/>
          <w:szCs w:val="28"/>
          <w:lang w:val="ru-RU"/>
        </w:rPr>
        <w:t>ф</w:t>
      </w:r>
      <w:proofErr w:type="spellEnd"/>
      <w:r w:rsidR="00773DE9" w:rsidRPr="008A5670">
        <w:rPr>
          <w:rFonts w:ascii="Times New Roman" w:hAnsi="Times New Roman" w:cs="Times New Roman"/>
          <w:sz w:val="28"/>
          <w:szCs w:val="28"/>
        </w:rPr>
        <w:fldChar w:fldCharType="end"/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DE9" w:rsidRPr="008A5670" w:rsidRDefault="008A5670" w:rsidP="008A5670">
      <w:pPr>
        <w:pStyle w:val="a3"/>
        <w:numPr>
          <w:ilvl w:val="0"/>
          <w:numId w:val="10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670">
        <w:rPr>
          <w:rFonts w:ascii="Times New Roman" w:hAnsi="Times New Roman" w:cs="Times New Roman"/>
          <w:sz w:val="28"/>
          <w:szCs w:val="28"/>
          <w:lang w:val="ru-RU"/>
        </w:rPr>
        <w:t>Пенсионному фонду Российской Феде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рации (А.В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Дроздов), Департаменту пенсионного обеспечения (И.М.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Игнатьев) во взаимодействии с Ассоциацией волонтерских центров проработать вопрос внесения изменений в план 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информационно-разъяснительной работы Пенсионного фонда Российской Федерации, включив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в него пункт по информированию граждан о возможностях в «серебряном» добровольчестве. 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DE9" w:rsidRPr="008A5670" w:rsidRDefault="008A5670" w:rsidP="008A5670">
      <w:pPr>
        <w:pStyle w:val="a3"/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670">
        <w:rPr>
          <w:rFonts w:ascii="Times New Roman" w:hAnsi="Times New Roman" w:cs="Times New Roman"/>
          <w:sz w:val="28"/>
          <w:szCs w:val="28"/>
          <w:lang w:val="ru-RU"/>
        </w:rPr>
        <w:t>Пенсионному фонду Российской Федерации (А.В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Дроздов) оказать содействие Ассоциации волонтерских центров в вопросе размещения социальной рекламы и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информационных стендов о «серебряном» добровольчестве на территории отделений фонда, в том числе проработав вопрос финансирования указанных мероприятий с учетом того, что предложения по содержанию информационных материалов будут предоставлены Ассоциацией 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волонтерских центров. 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DE9" w:rsidRPr="008A5670" w:rsidRDefault="008A5670" w:rsidP="008A5670">
      <w:pPr>
        <w:pStyle w:val="a3"/>
        <w:numPr>
          <w:ilvl w:val="0"/>
          <w:numId w:val="12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670">
        <w:rPr>
          <w:rFonts w:ascii="Times New Roman" w:hAnsi="Times New Roman" w:cs="Times New Roman"/>
          <w:sz w:val="28"/>
          <w:szCs w:val="28"/>
          <w:lang w:val="ru-RU"/>
        </w:rPr>
        <w:t>Департаменту демографической политики и социальной защиты населения (М.К.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Антонова) рекомендовать органам исполнительной власти субъектов Российской Федерации в сфере социальной защиты способствовать размещению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социальной рекламы и информационных стендов о «серебряном» 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волонтерстве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своих подведомственных учреждений (в том числе геронтологических центров) во взаимодействии с Ассоциацией волонтерских центров. 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май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DE9" w:rsidRPr="008A5670" w:rsidRDefault="008A5670" w:rsidP="008A5670">
      <w:pPr>
        <w:pStyle w:val="a3"/>
        <w:numPr>
          <w:ilvl w:val="0"/>
          <w:numId w:val="1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670">
        <w:rPr>
          <w:rFonts w:ascii="Times New Roman" w:hAnsi="Times New Roman" w:cs="Times New Roman"/>
          <w:sz w:val="28"/>
          <w:szCs w:val="28"/>
          <w:lang w:val="ru-RU"/>
        </w:rPr>
        <w:t>Советнику Министра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труда и социальной защиты Российской Федерации Ф.И.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Воронину включить в план работы Общественного совета при Минтруде России на 2019 год и провести его заседание по вопросу о механизмах (лучших практиках) взаимодействия региональных органов исполнительной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власти в сфере социальной защиты и их подведомственных учреждений с волонтерскими организациями. 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квартал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DE9" w:rsidRPr="008A5670" w:rsidRDefault="008A5670" w:rsidP="008A5670">
      <w:pPr>
        <w:pStyle w:val="a3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На основе лучшего опыта взаимодействия органов исполнительной власти субъектов Российской Федерации в сфере социальной защиты (и 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их подведомственных учреждений) с волонтерскими организациями, представленного на соответствующем заседании Общественного совета при Минтруде России, Департаменту правовой и международной деятельности (А.Ю.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Безпрозванных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>) совместно с Департаментом демограф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ической политики и социальной защиты населения (М.К.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Антонова) направить в органы исполнительной власти субъектов Российской Федерации в</w:t>
      </w:r>
      <w:proofErr w:type="gramEnd"/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 сфере социальной защиты информацию о лучших практиках взаимодействия органов исполнительной власти (и их подведомственн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ых учреждений) с добровольцами, а также соответствующие рекомендации по взаимодействию с волонтерами, включая «серебряных» добровольцев. 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апрель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DE9" w:rsidRPr="008A5670" w:rsidRDefault="008A5670" w:rsidP="008A5670">
      <w:pPr>
        <w:pStyle w:val="a3"/>
        <w:numPr>
          <w:ilvl w:val="0"/>
          <w:numId w:val="1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670">
        <w:rPr>
          <w:rFonts w:ascii="Times New Roman" w:hAnsi="Times New Roman" w:cs="Times New Roman"/>
          <w:sz w:val="28"/>
          <w:szCs w:val="28"/>
          <w:lang w:val="ru-RU"/>
        </w:rPr>
        <w:t>Департаменту правовой и международной деятельности (А.Ю.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Безпрозванных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>) рекомендовать (направ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ить информационное письмо) органам исполнительной власти субъектов Российской Федерации в сфере социальной защиты использовать единую информационную систему в сфере развития добровольчества «Добровольцы России» (</w:t>
      </w:r>
      <w:proofErr w:type="spellStart"/>
      <w:r w:rsidR="00773DE9" w:rsidRPr="008A5670">
        <w:rPr>
          <w:rFonts w:ascii="Times New Roman" w:hAnsi="Times New Roman" w:cs="Times New Roman"/>
          <w:sz w:val="28"/>
          <w:szCs w:val="28"/>
        </w:rPr>
        <w:fldChar w:fldCharType="begin"/>
      </w:r>
      <w:r w:rsidR="00773DE9" w:rsidRPr="008A5670">
        <w:rPr>
          <w:rFonts w:ascii="Times New Roman" w:hAnsi="Times New Roman" w:cs="Times New Roman"/>
          <w:sz w:val="28"/>
          <w:szCs w:val="28"/>
        </w:rPr>
        <w:instrText>HYPERLINK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https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vk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com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away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php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?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to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=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http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%3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A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%2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%2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4%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1%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0%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2%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EB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FC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6%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FB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0%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1%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1%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8%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E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8.%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0%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F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4&amp;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post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=26560412_6652&amp;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cc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_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key</w:instrText>
      </w:r>
      <w:r w:rsidR="00773DE9" w:rsidRPr="008A5670">
        <w:rPr>
          <w:rFonts w:ascii="Times New Roman" w:hAnsi="Times New Roman" w:cs="Times New Roman"/>
          <w:sz w:val="28"/>
          <w:szCs w:val="28"/>
          <w:lang w:val="ru-RU"/>
        </w:rPr>
        <w:instrText>=" \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instrText>h</w:instrText>
      </w:r>
      <w:r w:rsidR="00773DE9" w:rsidRPr="008A5670">
        <w:rPr>
          <w:rFonts w:ascii="Times New Roman" w:hAnsi="Times New Roman" w:cs="Times New Roman"/>
          <w:sz w:val="28"/>
          <w:szCs w:val="28"/>
        </w:rPr>
        <w:fldChar w:fldCharType="separate"/>
      </w:r>
      <w:r w:rsidRPr="008A5670">
        <w:rPr>
          <w:rStyle w:val="InternetLink"/>
          <w:rFonts w:ascii="Times New Roman" w:hAnsi="Times New Roman" w:cs="Times New Roman"/>
          <w:sz w:val="28"/>
          <w:szCs w:val="28"/>
          <w:lang w:val="ru-RU"/>
        </w:rPr>
        <w:t>добровольцыроссии</w:t>
      </w:r>
      <w:proofErr w:type="gramStart"/>
      <w:r w:rsidRPr="008A5670">
        <w:rPr>
          <w:rStyle w:val="InternetLink"/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 w:rsidRPr="008A5670">
        <w:rPr>
          <w:rStyle w:val="InternetLink"/>
          <w:rFonts w:ascii="Times New Roman" w:hAnsi="Times New Roman" w:cs="Times New Roman"/>
          <w:sz w:val="28"/>
          <w:szCs w:val="28"/>
          <w:lang w:val="ru-RU"/>
        </w:rPr>
        <w:t>ф</w:t>
      </w:r>
      <w:proofErr w:type="spellEnd"/>
      <w:r w:rsidR="00773DE9" w:rsidRPr="008A5670">
        <w:rPr>
          <w:rFonts w:ascii="Times New Roman" w:hAnsi="Times New Roman" w:cs="Times New Roman"/>
          <w:sz w:val="28"/>
          <w:szCs w:val="28"/>
        </w:rPr>
        <w:fldChar w:fldCharType="end"/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) в своей работе (а также работе их подведомственных учреждений) с волонтерскими объединениями. 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февраль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DE9" w:rsidRPr="008A5670" w:rsidRDefault="008A5670" w:rsidP="008A5670">
      <w:pPr>
        <w:pStyle w:val="a3"/>
        <w:numPr>
          <w:ilvl w:val="0"/>
          <w:numId w:val="16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670">
        <w:rPr>
          <w:rFonts w:ascii="Times New Roman" w:hAnsi="Times New Roman" w:cs="Times New Roman"/>
          <w:sz w:val="28"/>
          <w:szCs w:val="28"/>
          <w:lang w:val="ru-RU"/>
        </w:rPr>
        <w:t>Советнику Мини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стра труда и социальной защиты Российской Федерации Ф.И.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Воронину разработать проект ведомственного плана 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lastRenderedPageBreak/>
        <w:t>взаимодействия Министерства с волонтерским (добровольческим) движением и представить проект указанного плана на рассмотрение Министра труда и социальн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ой защиты Российской Федерации, согласованный с Ассоциацией волонтерских центров и другими ключевыми волонтерскими объединениями. 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DE9" w:rsidRPr="008A5670" w:rsidRDefault="008A5670" w:rsidP="008A5670">
      <w:pPr>
        <w:pStyle w:val="a3"/>
        <w:numPr>
          <w:ilvl w:val="0"/>
          <w:numId w:val="17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В целях подготовки к реализации вышеуказанных поручений заместителям Министра труда и социальной защит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ы Российской Федерации, помощникам (советникам) Министра, директорам департаментов, Фонду социального страхования Российской Федерации (А.С.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Кигиму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>), Пенсионному фонду Российской Федерации (А.В.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Дроздову), Федеральным бюро медико-социальной экспертизы (М.А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Дымочке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) осуществить необходимые коммуникации с авторами предложений, в том числе организовав личные встречи с соответствующими представителями волонтерских объединений. </w:t>
      </w:r>
      <w:proofErr w:type="gramEnd"/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январь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DE9" w:rsidRPr="008A5670" w:rsidRDefault="008A5670" w:rsidP="008A5670">
      <w:pPr>
        <w:pStyle w:val="a3"/>
        <w:numPr>
          <w:ilvl w:val="0"/>
          <w:numId w:val="18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670">
        <w:rPr>
          <w:rFonts w:ascii="Times New Roman" w:hAnsi="Times New Roman" w:cs="Times New Roman"/>
          <w:sz w:val="28"/>
          <w:szCs w:val="28"/>
          <w:lang w:val="ru-RU"/>
        </w:rPr>
        <w:t>Советнику Министра труда и социальной защиты Российской Федерации Ф.И.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Воронину организовать рабочую встречу Министра труда и социальной защиты Российской Федерации с руководителями добровольческого поисково-спасательного отряда «Лиза </w:t>
      </w:r>
      <w:proofErr w:type="spellStart"/>
      <w:r w:rsidRPr="008A5670">
        <w:rPr>
          <w:rFonts w:ascii="Times New Roman" w:hAnsi="Times New Roman" w:cs="Times New Roman"/>
          <w:sz w:val="28"/>
          <w:szCs w:val="28"/>
          <w:lang w:val="ru-RU"/>
        </w:rPr>
        <w:t>Алерт</w:t>
      </w:r>
      <w:proofErr w:type="spellEnd"/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773DE9" w:rsidRPr="008A5670" w:rsidRDefault="008A5670" w:rsidP="008A5670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5670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январ</w:t>
      </w:r>
      <w:r w:rsidRPr="008A5670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A5670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8A56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DE9" w:rsidRPr="008A5670" w:rsidRDefault="008A5670" w:rsidP="008A5670">
      <w:pPr>
        <w:pStyle w:val="a3"/>
        <w:numPr>
          <w:ilvl w:val="0"/>
          <w:numId w:val="19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670">
        <w:rPr>
          <w:rFonts w:ascii="Times New Roman" w:hAnsi="Times New Roman" w:cs="Times New Roman"/>
          <w:sz w:val="28"/>
          <w:szCs w:val="28"/>
          <w:lang w:val="ru-RU"/>
        </w:rPr>
        <w:t>Контроль исполнения вышеуказанных поручений возложить на советника Министра труда и социальной защиты Российской Федерации Ф.И.</w:t>
      </w:r>
      <w:r w:rsidRPr="008A5670">
        <w:rPr>
          <w:rFonts w:ascii="Times New Roman" w:hAnsi="Times New Roman" w:cs="Times New Roman"/>
          <w:sz w:val="28"/>
          <w:szCs w:val="28"/>
        </w:rPr>
        <w:t> </w:t>
      </w:r>
      <w:r w:rsidRPr="008A5670">
        <w:rPr>
          <w:rFonts w:ascii="Times New Roman" w:hAnsi="Times New Roman" w:cs="Times New Roman"/>
          <w:sz w:val="28"/>
          <w:szCs w:val="28"/>
          <w:lang w:val="ru-RU"/>
        </w:rPr>
        <w:t xml:space="preserve">Воронина. </w:t>
      </w:r>
    </w:p>
    <w:p w:rsidR="00773DE9" w:rsidRPr="008A5670" w:rsidRDefault="008A5670" w:rsidP="008A5670">
      <w:pPr>
        <w:pStyle w:val="a3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A5670">
        <w:rPr>
          <w:rStyle w:val="StrongEmphasis"/>
          <w:rFonts w:ascii="Times New Roman" w:hAnsi="Times New Roman" w:cs="Times New Roman"/>
          <w:sz w:val="28"/>
          <w:szCs w:val="28"/>
        </w:rPr>
        <w:t>М.А. </w:t>
      </w:r>
      <w:proofErr w:type="spellStart"/>
      <w:r w:rsidRPr="008A5670">
        <w:rPr>
          <w:rStyle w:val="StrongEmphasis"/>
          <w:rFonts w:ascii="Times New Roman" w:hAnsi="Times New Roman" w:cs="Times New Roman"/>
          <w:sz w:val="28"/>
          <w:szCs w:val="28"/>
        </w:rPr>
        <w:t>Топилин</w:t>
      </w:r>
      <w:proofErr w:type="spellEnd"/>
    </w:p>
    <w:sectPr w:rsidR="00773DE9" w:rsidRPr="008A5670" w:rsidSect="00773DE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968"/>
    <w:multiLevelType w:val="multilevel"/>
    <w:tmpl w:val="E09A2BCA"/>
    <w:lvl w:ilvl="0">
      <w:start w:val="1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6B217FE"/>
    <w:multiLevelType w:val="multilevel"/>
    <w:tmpl w:val="23F25F6A"/>
    <w:lvl w:ilvl="0">
      <w:start w:val="1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83B6E5A"/>
    <w:multiLevelType w:val="multilevel"/>
    <w:tmpl w:val="9028C4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3C51D35"/>
    <w:multiLevelType w:val="multilevel"/>
    <w:tmpl w:val="79704188"/>
    <w:lvl w:ilvl="0">
      <w:start w:val="1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181E6C42"/>
    <w:multiLevelType w:val="multilevel"/>
    <w:tmpl w:val="BEDC8264"/>
    <w:lvl w:ilvl="0">
      <w:start w:val="8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1C9B266E"/>
    <w:multiLevelType w:val="multilevel"/>
    <w:tmpl w:val="24CC15C4"/>
    <w:lvl w:ilvl="0">
      <w:start w:val="17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22415D10"/>
    <w:multiLevelType w:val="multilevel"/>
    <w:tmpl w:val="044ADDF0"/>
    <w:lvl w:ilvl="0">
      <w:start w:val="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>
    <w:nsid w:val="34195B50"/>
    <w:multiLevelType w:val="multilevel"/>
    <w:tmpl w:val="8D7C3476"/>
    <w:lvl w:ilvl="0">
      <w:start w:val="1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>
    <w:nsid w:val="351760F9"/>
    <w:multiLevelType w:val="multilevel"/>
    <w:tmpl w:val="D34E083E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>
    <w:nsid w:val="3E8C4620"/>
    <w:multiLevelType w:val="multilevel"/>
    <w:tmpl w:val="D89C590E"/>
    <w:lvl w:ilvl="0">
      <w:start w:val="1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nsid w:val="40AF406B"/>
    <w:multiLevelType w:val="multilevel"/>
    <w:tmpl w:val="16D2FF10"/>
    <w:lvl w:ilvl="0">
      <w:start w:val="18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>
    <w:nsid w:val="4C3264E0"/>
    <w:multiLevelType w:val="multilevel"/>
    <w:tmpl w:val="45788B9A"/>
    <w:lvl w:ilvl="0">
      <w:start w:val="19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>
    <w:nsid w:val="51166D9B"/>
    <w:multiLevelType w:val="multilevel"/>
    <w:tmpl w:val="24149D4E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>
    <w:nsid w:val="597F15B4"/>
    <w:multiLevelType w:val="multilevel"/>
    <w:tmpl w:val="B0BA4C54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>
    <w:nsid w:val="5E7B6CCE"/>
    <w:multiLevelType w:val="multilevel"/>
    <w:tmpl w:val="C6542354"/>
    <w:lvl w:ilvl="0">
      <w:start w:val="9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>
    <w:nsid w:val="633946BB"/>
    <w:multiLevelType w:val="multilevel"/>
    <w:tmpl w:val="528E89AC"/>
    <w:lvl w:ilvl="0">
      <w:start w:val="10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6">
    <w:nsid w:val="705D6AA8"/>
    <w:multiLevelType w:val="multilevel"/>
    <w:tmpl w:val="0D6EAE40"/>
    <w:lvl w:ilvl="0">
      <w:start w:val="1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>
    <w:nsid w:val="77B23769"/>
    <w:multiLevelType w:val="multilevel"/>
    <w:tmpl w:val="DF7C496C"/>
    <w:lvl w:ilvl="0">
      <w:start w:val="7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8">
    <w:nsid w:val="7C32513A"/>
    <w:multiLevelType w:val="multilevel"/>
    <w:tmpl w:val="D9A2D80C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9">
    <w:nsid w:val="7E264952"/>
    <w:multiLevelType w:val="multilevel"/>
    <w:tmpl w:val="055AA5C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9"/>
  </w:num>
  <w:num w:numId="2">
    <w:abstractNumId w:val="8"/>
  </w:num>
  <w:num w:numId="3">
    <w:abstractNumId w:val="13"/>
  </w:num>
  <w:num w:numId="4">
    <w:abstractNumId w:val="12"/>
  </w:num>
  <w:num w:numId="5">
    <w:abstractNumId w:val="6"/>
  </w:num>
  <w:num w:numId="6">
    <w:abstractNumId w:val="18"/>
  </w:num>
  <w:num w:numId="7">
    <w:abstractNumId w:val="17"/>
  </w:num>
  <w:num w:numId="8">
    <w:abstractNumId w:val="4"/>
  </w:num>
  <w:num w:numId="9">
    <w:abstractNumId w:val="14"/>
  </w:num>
  <w:num w:numId="10">
    <w:abstractNumId w:val="15"/>
  </w:num>
  <w:num w:numId="11">
    <w:abstractNumId w:val="3"/>
  </w:num>
  <w:num w:numId="12">
    <w:abstractNumId w:val="9"/>
  </w:num>
  <w:num w:numId="13">
    <w:abstractNumId w:val="0"/>
  </w:num>
  <w:num w:numId="14">
    <w:abstractNumId w:val="7"/>
  </w:num>
  <w:num w:numId="15">
    <w:abstractNumId w:val="1"/>
  </w:num>
  <w:num w:numId="16">
    <w:abstractNumId w:val="16"/>
  </w:num>
  <w:num w:numId="17">
    <w:abstractNumId w:val="5"/>
  </w:num>
  <w:num w:numId="18">
    <w:abstractNumId w:val="10"/>
  </w:num>
  <w:num w:numId="19">
    <w:abstractNumId w:val="1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773DE9"/>
    <w:rsid w:val="00773DE9"/>
    <w:rsid w:val="008A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773DE9"/>
    <w:rPr>
      <w:rFonts w:ascii="Thorndale" w:hAnsi="Thorndale"/>
      <w:b/>
      <w:bCs/>
      <w:sz w:val="48"/>
      <w:szCs w:val="44"/>
    </w:rPr>
  </w:style>
  <w:style w:type="paragraph" w:customStyle="1" w:styleId="Heading2">
    <w:name w:val="Heading 2"/>
    <w:basedOn w:val="Heading"/>
    <w:next w:val="a3"/>
    <w:qFormat/>
    <w:rsid w:val="00773DE9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EndnoteCharacters">
    <w:name w:val="Endnote Characters"/>
    <w:qFormat/>
    <w:rsid w:val="00773DE9"/>
  </w:style>
  <w:style w:type="character" w:customStyle="1" w:styleId="FootnoteCharacters">
    <w:name w:val="Footnote Characters"/>
    <w:qFormat/>
    <w:rsid w:val="00773DE9"/>
  </w:style>
  <w:style w:type="character" w:customStyle="1" w:styleId="InternetLink">
    <w:name w:val="Internet Link"/>
    <w:rsid w:val="00773DE9"/>
    <w:rPr>
      <w:color w:val="000080"/>
      <w:u w:val="single"/>
    </w:rPr>
  </w:style>
  <w:style w:type="character" w:customStyle="1" w:styleId="NumberingSymbols">
    <w:name w:val="Numbering Symbols"/>
    <w:qFormat/>
    <w:rsid w:val="00773DE9"/>
  </w:style>
  <w:style w:type="character" w:customStyle="1" w:styleId="StrongEmphasis">
    <w:name w:val="Strong Emphasis"/>
    <w:qFormat/>
    <w:rsid w:val="00773DE9"/>
    <w:rPr>
      <w:b/>
      <w:bCs/>
    </w:rPr>
  </w:style>
  <w:style w:type="paragraph" w:customStyle="1" w:styleId="Heading">
    <w:name w:val="Heading"/>
    <w:basedOn w:val="a"/>
    <w:next w:val="a3"/>
    <w:qFormat/>
    <w:rsid w:val="00773DE9"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3">
    <w:name w:val="Body Text"/>
    <w:basedOn w:val="a"/>
    <w:rsid w:val="00773DE9"/>
    <w:pPr>
      <w:spacing w:after="283"/>
    </w:pPr>
  </w:style>
  <w:style w:type="paragraph" w:styleId="a4">
    <w:name w:val="List"/>
    <w:basedOn w:val="a3"/>
    <w:rsid w:val="00773DE9"/>
  </w:style>
  <w:style w:type="paragraph" w:customStyle="1" w:styleId="Caption">
    <w:name w:val="Caption"/>
    <w:basedOn w:val="a"/>
    <w:qFormat/>
    <w:rsid w:val="00773DE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773DE9"/>
    <w:pPr>
      <w:suppressLineNumbers/>
    </w:pPr>
  </w:style>
  <w:style w:type="paragraph" w:customStyle="1" w:styleId="HorizontalLine">
    <w:name w:val="Horizontal Line"/>
    <w:basedOn w:val="a"/>
    <w:next w:val="a3"/>
    <w:qFormat/>
    <w:rsid w:val="00773DE9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EnvelopeReturn">
    <w:name w:val="Envelope Return"/>
    <w:basedOn w:val="a"/>
    <w:rsid w:val="00773DE9"/>
    <w:rPr>
      <w:i/>
    </w:rPr>
  </w:style>
  <w:style w:type="paragraph" w:customStyle="1" w:styleId="TableContents">
    <w:name w:val="Table Contents"/>
    <w:basedOn w:val="a3"/>
    <w:qFormat/>
    <w:rsid w:val="00773DE9"/>
  </w:style>
  <w:style w:type="paragraph" w:customStyle="1" w:styleId="Footer">
    <w:name w:val="Footer"/>
    <w:basedOn w:val="a"/>
    <w:rsid w:val="00773DE9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773DE9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1467</Words>
  <Characters>8364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2019-03-27T06:54:00Z</dcterms:created>
  <dcterms:modified xsi:type="dcterms:W3CDTF">2019-03-27T06:54:00Z</dcterms:modified>
  <dc:language>en-US</dc:language>
</cp:coreProperties>
</file>