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C2" w:rsidRPr="000954AB" w:rsidRDefault="00C056C2" w:rsidP="00C056C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954AB">
        <w:rPr>
          <w:b/>
          <w:sz w:val="28"/>
          <w:szCs w:val="28"/>
        </w:rPr>
        <w:t xml:space="preserve">аключение </w:t>
      </w:r>
    </w:p>
    <w:p w:rsidR="00C056C2" w:rsidRPr="000954AB" w:rsidRDefault="00C056C2" w:rsidP="00C056C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954AB">
        <w:rPr>
          <w:b/>
          <w:sz w:val="28"/>
          <w:szCs w:val="28"/>
        </w:rPr>
        <w:t>на проект Закона Амурской области</w:t>
      </w:r>
    </w:p>
    <w:p w:rsidR="00C056C2" w:rsidRPr="000954AB" w:rsidRDefault="00C056C2" w:rsidP="00C056C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954AB">
        <w:rPr>
          <w:b/>
          <w:sz w:val="28"/>
          <w:szCs w:val="28"/>
        </w:rPr>
        <w:t xml:space="preserve">«Об </w:t>
      </w:r>
      <w:r>
        <w:rPr>
          <w:b/>
          <w:sz w:val="28"/>
          <w:szCs w:val="28"/>
        </w:rPr>
        <w:t>исполнении бюджета за 2014 год»</w:t>
      </w:r>
    </w:p>
    <w:p w:rsidR="00C056C2" w:rsidRPr="000954AB" w:rsidRDefault="00C056C2" w:rsidP="00C056C2">
      <w:pPr>
        <w:rPr>
          <w:sz w:val="28"/>
          <w:szCs w:val="28"/>
        </w:rPr>
      </w:pPr>
    </w:p>
    <w:p w:rsidR="00C056C2" w:rsidRPr="0036625E" w:rsidRDefault="00C056C2" w:rsidP="00C0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публичные слушания являются одной из форм участия населения в местном самоуправлении. Они</w:t>
      </w:r>
      <w:r w:rsidRPr="0036625E">
        <w:rPr>
          <w:bCs/>
          <w:sz w:val="28"/>
          <w:szCs w:val="28"/>
          <w:shd w:val="clear" w:color="auto" w:fill="FFFFFF"/>
        </w:rPr>
        <w:t xml:space="preserve"> вызывают живой интерес </w:t>
      </w:r>
      <w:r>
        <w:rPr>
          <w:bCs/>
          <w:sz w:val="28"/>
          <w:szCs w:val="28"/>
          <w:shd w:val="clear" w:color="auto" w:fill="FFFFFF"/>
        </w:rPr>
        <w:t xml:space="preserve">у </w:t>
      </w:r>
      <w:r w:rsidRPr="0036625E">
        <w:rPr>
          <w:bCs/>
          <w:sz w:val="28"/>
          <w:szCs w:val="28"/>
          <w:shd w:val="clear" w:color="auto" w:fill="FFFFFF"/>
        </w:rPr>
        <w:t>жителей региона</w:t>
      </w:r>
      <w:r>
        <w:rPr>
          <w:bCs/>
          <w:sz w:val="28"/>
          <w:szCs w:val="28"/>
          <w:shd w:val="clear" w:color="auto" w:fill="FFFFFF"/>
        </w:rPr>
        <w:t xml:space="preserve">, так как такая форма позволяет им получить необходимую информацию  и высказать свое мнение по жизненно важным вопросам – строительство дорог, жилья, создание инфраструктуры и т.д. </w:t>
      </w:r>
      <w:r w:rsidRPr="0036625E">
        <w:rPr>
          <w:bCs/>
          <w:sz w:val="28"/>
          <w:szCs w:val="28"/>
          <w:shd w:val="clear" w:color="auto" w:fill="FFFFFF"/>
        </w:rPr>
        <w:t xml:space="preserve"> </w:t>
      </w:r>
    </w:p>
    <w:p w:rsidR="00C056C2" w:rsidRDefault="00C056C2" w:rsidP="00C0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исполнение бюджета по формированию доходов и расходов денежных средств гораздо меньше интересует население, и связано это с несколькими причинами.</w:t>
      </w:r>
    </w:p>
    <w:p w:rsidR="00C056C2" w:rsidRDefault="00C056C2" w:rsidP="00C0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– переход от долгосрочных целевых программ к </w:t>
      </w:r>
      <w:proofErr w:type="gramStart"/>
      <w:r>
        <w:rPr>
          <w:sz w:val="28"/>
          <w:szCs w:val="28"/>
        </w:rPr>
        <w:t>государственным</w:t>
      </w:r>
      <w:proofErr w:type="gramEnd"/>
      <w:r>
        <w:rPr>
          <w:sz w:val="28"/>
          <w:szCs w:val="28"/>
        </w:rPr>
        <w:t xml:space="preserve">.  Государственная программа включает в себя федеральные целевые программы и подпрограммы, </w:t>
      </w:r>
      <w:proofErr w:type="gramStart"/>
      <w:r>
        <w:rPr>
          <w:sz w:val="28"/>
          <w:szCs w:val="28"/>
        </w:rPr>
        <w:t>содержащие</w:t>
      </w:r>
      <w:proofErr w:type="gramEnd"/>
      <w:r>
        <w:rPr>
          <w:sz w:val="28"/>
          <w:szCs w:val="28"/>
        </w:rPr>
        <w:t xml:space="preserve"> в том числе ведомственные целевые программы и основные мероприятия органов государственной власти. </w:t>
      </w:r>
    </w:p>
    <w:p w:rsidR="00C056C2" w:rsidRDefault="00C056C2" w:rsidP="00C05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бюджет обеспечивает увязку целей социально-экономического развития и расходов. В связи с этим методы наблюдения, прогнозирования и оценки экономических факторов  требуют пересмотра.</w:t>
      </w:r>
      <w:r w:rsidRPr="007255B6">
        <w:rPr>
          <w:sz w:val="28"/>
          <w:szCs w:val="28"/>
        </w:rPr>
        <w:t xml:space="preserve"> </w:t>
      </w:r>
    </w:p>
    <w:p w:rsidR="00C056C2" w:rsidRDefault="00C056C2" w:rsidP="00C056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BF4D0A">
        <w:rPr>
          <w:sz w:val="28"/>
          <w:szCs w:val="28"/>
        </w:rPr>
        <w:t xml:space="preserve"> о целях и результатах госу</w:t>
      </w:r>
      <w:r>
        <w:rPr>
          <w:sz w:val="28"/>
          <w:szCs w:val="28"/>
        </w:rPr>
        <w:t>дарственных расходов, выраженная</w:t>
      </w:r>
      <w:r w:rsidRPr="00BF4D0A">
        <w:rPr>
          <w:sz w:val="28"/>
          <w:szCs w:val="28"/>
        </w:rPr>
        <w:t xml:space="preserve"> посредством ключевых показателей эффективности и в доступной для понимания форме оценки программ</w:t>
      </w:r>
      <w:r>
        <w:rPr>
          <w:sz w:val="28"/>
          <w:szCs w:val="28"/>
        </w:rPr>
        <w:t xml:space="preserve"> –  один из элементов базовой модели программного бюджета.</w:t>
      </w:r>
    </w:p>
    <w:p w:rsidR="00C056C2" w:rsidRDefault="00C056C2" w:rsidP="00C05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то же время </w:t>
      </w:r>
      <w:r w:rsidRPr="00B40CD9">
        <w:rPr>
          <w:sz w:val="28"/>
          <w:szCs w:val="28"/>
        </w:rPr>
        <w:t xml:space="preserve">формулирование показателей, которые отражали бы степень </w:t>
      </w:r>
      <w:r>
        <w:rPr>
          <w:sz w:val="28"/>
          <w:szCs w:val="28"/>
        </w:rPr>
        <w:t xml:space="preserve">участия конкретного </w:t>
      </w:r>
      <w:r w:rsidRPr="00B40CD9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 xml:space="preserve">государственной </w:t>
      </w:r>
      <w:r w:rsidRPr="00B40CD9">
        <w:rPr>
          <w:sz w:val="28"/>
          <w:szCs w:val="28"/>
        </w:rPr>
        <w:t>власти в социально-экономическом развитии</w:t>
      </w:r>
      <w:r>
        <w:rPr>
          <w:sz w:val="28"/>
          <w:szCs w:val="28"/>
        </w:rPr>
        <w:t xml:space="preserve">, </w:t>
      </w:r>
      <w:r w:rsidRPr="00B40CD9">
        <w:rPr>
          <w:sz w:val="28"/>
          <w:szCs w:val="28"/>
        </w:rPr>
        <w:t>выбор оптимального количества критериев, по которым оценивается результативность деятельности государства</w:t>
      </w:r>
      <w:r>
        <w:rPr>
          <w:sz w:val="28"/>
          <w:szCs w:val="28"/>
        </w:rPr>
        <w:t xml:space="preserve">, а также </w:t>
      </w:r>
      <w:r w:rsidRPr="00B40CD9">
        <w:rPr>
          <w:sz w:val="28"/>
          <w:szCs w:val="28"/>
        </w:rPr>
        <w:t>конкуренция различных подходов к понятию эффективности</w:t>
      </w:r>
      <w:r>
        <w:rPr>
          <w:sz w:val="28"/>
          <w:szCs w:val="28"/>
        </w:rPr>
        <w:t xml:space="preserve"> – все это вызывает на практике значительные трудности: </w:t>
      </w:r>
      <w:r w:rsidRPr="00B40CD9">
        <w:rPr>
          <w:sz w:val="28"/>
          <w:szCs w:val="28"/>
        </w:rPr>
        <w:t>в определенных ситуациях социальный и экономический подходы к оценке эффективности могут вступать в противоречие друг с другом</w:t>
      </w:r>
      <w:proofErr w:type="gramEnd"/>
      <w:r w:rsidRPr="00B40CD9">
        <w:rPr>
          <w:sz w:val="28"/>
          <w:szCs w:val="28"/>
        </w:rPr>
        <w:t xml:space="preserve">, поскольку в их основе лежат фундаментальные различия между государством и частной корпорацией: если основная функция государства </w:t>
      </w:r>
      <w:r>
        <w:rPr>
          <w:sz w:val="28"/>
          <w:szCs w:val="28"/>
        </w:rPr>
        <w:t xml:space="preserve">находится </w:t>
      </w:r>
      <w:r w:rsidRPr="00B40CD9">
        <w:rPr>
          <w:sz w:val="28"/>
          <w:szCs w:val="28"/>
        </w:rPr>
        <w:t xml:space="preserve">в социальной плоскости, то работа </w:t>
      </w:r>
      <w:proofErr w:type="gramStart"/>
      <w:r w:rsidRPr="00B40CD9">
        <w:rPr>
          <w:sz w:val="28"/>
          <w:szCs w:val="28"/>
        </w:rPr>
        <w:t>бизнес-структур</w:t>
      </w:r>
      <w:proofErr w:type="gramEnd"/>
      <w:r w:rsidRPr="00B40CD9">
        <w:rPr>
          <w:sz w:val="28"/>
          <w:szCs w:val="28"/>
        </w:rPr>
        <w:t xml:space="preserve"> нацелена на получение прибыли</w:t>
      </w:r>
      <w:r>
        <w:rPr>
          <w:sz w:val="28"/>
          <w:szCs w:val="28"/>
        </w:rPr>
        <w:t>.</w:t>
      </w:r>
    </w:p>
    <w:p w:rsidR="00C056C2" w:rsidRDefault="00C056C2" w:rsidP="00C05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программы содержат от 19 до 136 показателей. Общее количество плановых показателей реализации государственных программ Амурской области превышает 900. </w:t>
      </w:r>
      <w:proofErr w:type="gramStart"/>
      <w:r>
        <w:rPr>
          <w:sz w:val="28"/>
          <w:szCs w:val="28"/>
        </w:rPr>
        <w:t>Такая система достаточно громоздка а, поскольку значительная часть этих показателей ведомственные и не наблюдаются органами государственной статистики, вынуждает органы исполнительной власти, в целях реализации принципов информационной обеспеченности и достаточности, фактически вынуждены содержать собственные органы наблюдения за значением показателей результативности.</w:t>
      </w:r>
      <w:proofErr w:type="gramEnd"/>
    </w:p>
    <w:p w:rsidR="00C056C2" w:rsidRDefault="00C056C2" w:rsidP="00C0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важным моментом становится объективность в формулировании показателей и методах их достижения. Для населения все </w:t>
      </w:r>
      <w:r>
        <w:rPr>
          <w:sz w:val="28"/>
          <w:szCs w:val="28"/>
        </w:rPr>
        <w:lastRenderedPageBreak/>
        <w:t>выглядит так, будто все показатели выполнены на 100 %, а не достигшие 100 % связаны с конкурсными процедурами.</w:t>
      </w:r>
    </w:p>
    <w:p w:rsidR="00C056C2" w:rsidRDefault="00C056C2" w:rsidP="00C05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Сами показатели для населения </w:t>
      </w:r>
      <w:proofErr w:type="gramStart"/>
      <w:r>
        <w:rPr>
          <w:sz w:val="28"/>
          <w:szCs w:val="28"/>
        </w:rPr>
        <w:t>мало понятны</w:t>
      </w:r>
      <w:proofErr w:type="gramEnd"/>
      <w:r>
        <w:rPr>
          <w:sz w:val="28"/>
          <w:szCs w:val="28"/>
        </w:rPr>
        <w:t>. Н</w:t>
      </w:r>
      <w:r w:rsidRPr="00E9208A">
        <w:rPr>
          <w:sz w:val="28"/>
          <w:szCs w:val="28"/>
        </w:rPr>
        <w:t>апример</w:t>
      </w:r>
      <w:r>
        <w:rPr>
          <w:sz w:val="28"/>
          <w:szCs w:val="28"/>
        </w:rPr>
        <w:t>,</w:t>
      </w:r>
      <w:r w:rsidRPr="00E9208A">
        <w:rPr>
          <w:sz w:val="28"/>
          <w:szCs w:val="28"/>
        </w:rPr>
        <w:t xml:space="preserve"> уровень среднего балла по результатам мониторинга финансового менеджмента составил 21,51</w:t>
      </w:r>
      <w:r>
        <w:rPr>
          <w:sz w:val="28"/>
          <w:szCs w:val="28"/>
        </w:rPr>
        <w:t>,</w:t>
      </w:r>
      <w:r w:rsidRPr="00E9208A">
        <w:rPr>
          <w:sz w:val="28"/>
          <w:szCs w:val="28"/>
        </w:rPr>
        <w:t xml:space="preserve"> при среднем балле комплексной оценки в 2014 г</w:t>
      </w:r>
      <w:r>
        <w:rPr>
          <w:sz w:val="28"/>
          <w:szCs w:val="28"/>
        </w:rPr>
        <w:t>.</w:t>
      </w:r>
      <w:r w:rsidRPr="00E9208A">
        <w:rPr>
          <w:sz w:val="28"/>
          <w:szCs w:val="28"/>
        </w:rPr>
        <w:t xml:space="preserve"> – 23,39, что </w:t>
      </w:r>
      <w:r>
        <w:rPr>
          <w:sz w:val="28"/>
          <w:szCs w:val="28"/>
        </w:rPr>
        <w:t>свидетельствует</w:t>
      </w:r>
      <w:r w:rsidRPr="00E9208A">
        <w:rPr>
          <w:sz w:val="28"/>
          <w:szCs w:val="28"/>
        </w:rPr>
        <w:t xml:space="preserve"> о низком к</w:t>
      </w:r>
      <w:r>
        <w:rPr>
          <w:sz w:val="28"/>
          <w:szCs w:val="28"/>
        </w:rPr>
        <w:t>ачестве финансового менеджмента. Не совсем ясно, как формируется подобная комплексная оценка.</w:t>
      </w:r>
    </w:p>
    <w:p w:rsidR="00C056C2" w:rsidRDefault="00C056C2" w:rsidP="00C0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Или о</w:t>
      </w:r>
      <w:r w:rsidRPr="00A45BD9">
        <w:rPr>
          <w:sz w:val="28"/>
          <w:szCs w:val="28"/>
        </w:rPr>
        <w:t xml:space="preserve">тношение среднего балла единого государственного экзамена (в расчете на 1 предмет) в 10% школ с лучшими результатами </w:t>
      </w:r>
      <w:r>
        <w:rPr>
          <w:sz w:val="28"/>
          <w:szCs w:val="28"/>
        </w:rPr>
        <w:t>ЕГЭ</w:t>
      </w:r>
      <w:r w:rsidRPr="00A45BD9">
        <w:rPr>
          <w:sz w:val="28"/>
          <w:szCs w:val="28"/>
        </w:rPr>
        <w:t xml:space="preserve"> к среднему баллу единого государственного экзамена (в расчете на 1 предмет) в 10% школ с худшими результатами </w:t>
      </w:r>
      <w:r>
        <w:rPr>
          <w:sz w:val="28"/>
          <w:szCs w:val="28"/>
        </w:rPr>
        <w:t>ЕГЭ, в процентах. Непонятен сам показатель и методы его достижения: как бюджетные деньги используются на достижение планового значения показателя. В соответствии с  исполнением бюджета он достигнут на 76 %.</w:t>
      </w:r>
    </w:p>
    <w:p w:rsidR="00C056C2" w:rsidRDefault="00C056C2" w:rsidP="00C0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пример – о</w:t>
      </w:r>
      <w:r w:rsidRPr="00A45BD9">
        <w:rPr>
          <w:sz w:val="28"/>
          <w:szCs w:val="28"/>
        </w:rPr>
        <w:t>сновное мероприятие "Расходы на обеспечение функций исполнительных органов государственной власти"</w:t>
      </w:r>
      <w:r>
        <w:rPr>
          <w:sz w:val="28"/>
          <w:szCs w:val="28"/>
        </w:rPr>
        <w:t>, где критерием является к</w:t>
      </w:r>
      <w:r w:rsidRPr="00A45BD9">
        <w:rPr>
          <w:sz w:val="28"/>
          <w:szCs w:val="28"/>
        </w:rPr>
        <w:t>оличество мероприятий регионального уровня по распространению результатов государственной программы, ед.</w:t>
      </w:r>
      <w:r>
        <w:rPr>
          <w:sz w:val="28"/>
          <w:szCs w:val="28"/>
        </w:rPr>
        <w:t xml:space="preserve"> Денежных средств потрачено 100%, критерий выполнен на 50%, то есть из 6 мероприятий проведено 3. Непонятны как механизм реализации денежных средств, так и значение показателя.</w:t>
      </w:r>
    </w:p>
    <w:p w:rsidR="00C056C2" w:rsidRDefault="00C056C2" w:rsidP="00C0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причина – это конкурсные процедуры, связанные с вступлением с 1 января 2014 года нового закона о закупках для государственных и муниципальных нужд. </w:t>
      </w:r>
    </w:p>
    <w:p w:rsidR="00C056C2" w:rsidRDefault="00C056C2" w:rsidP="00C0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населению непонятно, почему на закупку молока, предметов бытовой химии или учебников необходимо проводить конкурсные процедуры, почему нельзя их просто купить, как в магазине. На сегодняшний день такие процедуры направлены на прозрачность трат бюджетных средств, но это связано с увеличением времени на приобретение необходимых материалов и предоставление государственных и муниципальных услуг. </w:t>
      </w:r>
    </w:p>
    <w:p w:rsidR="00C056C2" w:rsidRDefault="00C056C2" w:rsidP="00C0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большое количество конкурсных процедур признается несостоявшимися или отменяются по причине нарушения закона о контрактной системе. Это связано в первую очередь с профессионализмом заказчиков, то есть органов государственной или муниципальной власти. В таком случае бюджет не выполняется – </w:t>
      </w:r>
      <w:r w:rsidRPr="00CF0B8E">
        <w:rPr>
          <w:sz w:val="28"/>
          <w:szCs w:val="28"/>
        </w:rPr>
        <w:t>ремонт жилищного фонда не осуществлялся, плановые показатели не выполнены, так как были затянуты сроки проведения конкурсных процедур для заключения контракта на проведение указанных работ</w:t>
      </w:r>
      <w:r>
        <w:rPr>
          <w:sz w:val="28"/>
          <w:szCs w:val="28"/>
        </w:rPr>
        <w:t>.</w:t>
      </w:r>
    </w:p>
    <w:p w:rsidR="00C056C2" w:rsidRDefault="00C056C2" w:rsidP="00C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также обратить внимание на проблему, которая наблюдается из года в год. Исполнение бюджета сравнивается не с его первоначальным утвержденным законом области вариантом, а с </w:t>
      </w:r>
      <w:proofErr w:type="gramStart"/>
      <w:r>
        <w:rPr>
          <w:sz w:val="28"/>
          <w:szCs w:val="28"/>
        </w:rPr>
        <w:t>последним</w:t>
      </w:r>
      <w:proofErr w:type="gramEnd"/>
      <w:r>
        <w:rPr>
          <w:sz w:val="28"/>
          <w:szCs w:val="28"/>
        </w:rPr>
        <w:t xml:space="preserve"> пересматриваемым в течение года (в 2014 г. – более 10 раз). Последний раз это происходит, как правило, в конце текущего года. В связи с этим исполнение бюджета по состоянию на 31 декабря 2014 г. почти по всем статьям расходов составляет от 95 до 98%.</w:t>
      </w:r>
    </w:p>
    <w:p w:rsidR="00C056C2" w:rsidRPr="00193EA0" w:rsidRDefault="00C056C2" w:rsidP="00C0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Такой порядок утвержден федеральными документами и принят во всех регионах России. И работникам Министерств финансов регионов и РФ этот порядок не кажется необычным, они в нем видят все, что им нужно для понимания процессов управления федеральными и областными деньгами. Но если правительство региона решает выносить бюджет на публичные </w:t>
      </w:r>
      <w:r w:rsidRPr="00193EA0">
        <w:rPr>
          <w:sz w:val="28"/>
          <w:szCs w:val="28"/>
        </w:rPr>
        <w:t>слушания, то его содержание должно быть понятным и для граждан. В таком случае граждане должны получить возможность:</w:t>
      </w:r>
    </w:p>
    <w:p w:rsidR="00C056C2" w:rsidRPr="00193EA0" w:rsidRDefault="00C056C2" w:rsidP="00C056C2">
      <w:pPr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первое – увидеть разницу между </w:t>
      </w:r>
      <w:proofErr w:type="gramStart"/>
      <w:r w:rsidRPr="00193EA0">
        <w:rPr>
          <w:sz w:val="28"/>
          <w:szCs w:val="28"/>
        </w:rPr>
        <w:t>бюджетами</w:t>
      </w:r>
      <w:proofErr w:type="gramEnd"/>
      <w:r w:rsidRPr="00193EA0">
        <w:rPr>
          <w:sz w:val="28"/>
          <w:szCs w:val="28"/>
        </w:rPr>
        <w:t xml:space="preserve"> запланированными и исполненными по годам, чтобы динамика поступления разных доходов и динамика расходования бюджета, в том числе по направлениям, была наглядной, особенно по жизненно важным направлениям;</w:t>
      </w:r>
    </w:p>
    <w:p w:rsidR="00C056C2" w:rsidRPr="00193EA0" w:rsidRDefault="00C056C2" w:rsidP="00C056C2">
      <w:pPr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второе – увидеть, как спланированный бюджет 2014 г. (утвержденный в декабре 2013 г.) соотносится с результатами исполнения бюджета (по состоянию на 31 декабря 2014 г.). Здесь необходимо показать разницу при переходе на государственные программы, с расшифровкой показателей.</w:t>
      </w:r>
    </w:p>
    <w:p w:rsidR="00C056C2" w:rsidRPr="00193EA0" w:rsidRDefault="00C056C2" w:rsidP="00C056C2">
      <w:pPr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Анализ данных подтверждает наш вывод, что планирование бюджета региона ведется не от фактического состояния социально-экономического развития за прошлые периоды, а основывается на других принципах (вероятно,  на задачах «выбивания» средств из федерального бюджета). </w:t>
      </w:r>
    </w:p>
    <w:p w:rsidR="00C056C2" w:rsidRPr="00193EA0" w:rsidRDefault="00C056C2" w:rsidP="00C05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В отличие от бюджета на 2013 г.  в бюджете на 2014 год содержится распределение бюджетных ассигнований по целевым статьям (государственным программам и непрограммным направлениям деятельности). Отсутствие в ведомственной классификации разделов и подразделов не позволяет увидеть ассигнования на исполнение публичных нормативных обязательств, что снижает прозрачность областного бюджета и затрудняет сопоставимость расходов планируемого периода с текущим годом.</w:t>
      </w:r>
    </w:p>
    <w:p w:rsidR="00C056C2" w:rsidRPr="00193EA0" w:rsidRDefault="00C056C2" w:rsidP="00C05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3EA0">
        <w:rPr>
          <w:sz w:val="28"/>
          <w:szCs w:val="28"/>
        </w:rPr>
        <w:t>Также законом предусматривается, что при внесении проекта федерального закона о федеральном бюджете на очередной финансовый год и плановый период одновременно представляется перечень публичных нормативных обязательств, подлежащих исполнению за счет средств федерального бюджета с расчетами на очередной финансовый год и плановый период, но областное бюджетное законодательство не предусматривает предоставления расчетов объемов публичных нормативных обязательств.</w:t>
      </w:r>
      <w:proofErr w:type="gramEnd"/>
    </w:p>
    <w:p w:rsidR="00C056C2" w:rsidRDefault="00C056C2" w:rsidP="00C05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Соответственно, расчеты по определению объемов публичных нормативных обязательств отсутствуют, что не позволяет на стадии принятия закона оценить реалистичность объемов, представленных в перечне </w:t>
      </w:r>
      <w:proofErr w:type="gramStart"/>
      <w:r w:rsidRPr="00193EA0">
        <w:rPr>
          <w:sz w:val="28"/>
          <w:szCs w:val="28"/>
        </w:rPr>
        <w:t>публичных нормативных обязательств, подлежащих исполнению за счет средств областного бюджета на очередной финансовый год и плановый период и дает</w:t>
      </w:r>
      <w:proofErr w:type="gramEnd"/>
      <w:r w:rsidRPr="00193EA0">
        <w:rPr>
          <w:sz w:val="28"/>
          <w:szCs w:val="28"/>
        </w:rPr>
        <w:t xml:space="preserve"> возможность их вариативного исполнения.</w:t>
      </w:r>
      <w:r>
        <w:rPr>
          <w:sz w:val="28"/>
          <w:szCs w:val="28"/>
        </w:rPr>
        <w:t xml:space="preserve"> </w:t>
      </w:r>
    </w:p>
    <w:p w:rsidR="00C056C2" w:rsidRDefault="00C056C2" w:rsidP="00C05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областного бюджета на реализацию государственных программ Амурской области представлена на рисунке.</w:t>
      </w:r>
    </w:p>
    <w:p w:rsidR="00C056C2" w:rsidRDefault="00C056C2" w:rsidP="00C05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6C2" w:rsidRDefault="00C056C2" w:rsidP="00C056C2">
      <w:pPr>
        <w:tabs>
          <w:tab w:val="left" w:pos="1571"/>
        </w:tabs>
        <w:rPr>
          <w:sz w:val="28"/>
          <w:szCs w:val="28"/>
        </w:rPr>
      </w:pPr>
      <w:r w:rsidRPr="00047DB3">
        <w:rPr>
          <w:noProof/>
          <w:sz w:val="28"/>
          <w:szCs w:val="28"/>
        </w:rPr>
        <w:lastRenderedPageBreak/>
        <w:drawing>
          <wp:inline distT="0" distB="0" distL="0" distR="0">
            <wp:extent cx="5940425" cy="3905250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056C2" w:rsidRDefault="00C056C2" w:rsidP="00C05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6C2" w:rsidRDefault="00C056C2" w:rsidP="00C05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рис</w:t>
      </w:r>
      <w:proofErr w:type="gramEnd"/>
      <w:r>
        <w:rPr>
          <w:sz w:val="28"/>
          <w:szCs w:val="28"/>
        </w:rPr>
        <w:t>., 57 %, программную часть расходов областного бюджета на 2014 г. и плановый период 2015-2016 гг. занимают государственные программы социального направления. Следует отметить, что значительная доля социального блока в расходах областного бюджета является традиционной.</w:t>
      </w:r>
    </w:p>
    <w:p w:rsidR="00C056C2" w:rsidRDefault="00C056C2" w:rsidP="00C05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 всего средств областного бюджета в 2014 г. направлено на реализацию государственной программы «</w:t>
      </w:r>
      <w:r w:rsidRPr="00DA67C4">
        <w:rPr>
          <w:sz w:val="28"/>
          <w:szCs w:val="28"/>
        </w:rPr>
        <w:t>Развитие системы социальной защиты населения Амурской области на 2014 - 2020 г</w:t>
      </w:r>
      <w:r>
        <w:rPr>
          <w:sz w:val="28"/>
          <w:szCs w:val="28"/>
        </w:rPr>
        <w:t>оды» -  22,95 % от всех расходов на реализацию программ; 14,05 % расходов программной части использовано на реализацию государственной программы «</w:t>
      </w:r>
      <w:r w:rsidRPr="00DA67C4">
        <w:rPr>
          <w:sz w:val="28"/>
          <w:szCs w:val="28"/>
        </w:rPr>
        <w:t>Развитие здравоохранения Амурской области на 2014 - 2020 годы</w:t>
      </w:r>
      <w:r>
        <w:rPr>
          <w:sz w:val="28"/>
          <w:szCs w:val="28"/>
        </w:rPr>
        <w:t xml:space="preserve">»; 18,32 % - </w:t>
      </w:r>
      <w:r w:rsidRPr="00DA67C4">
        <w:rPr>
          <w:sz w:val="28"/>
          <w:szCs w:val="28"/>
        </w:rPr>
        <w:t>на реализацию государственной программы «Развитие образования Амурской области на 2014 - 2020 годы</w:t>
      </w:r>
      <w:r>
        <w:rPr>
          <w:sz w:val="28"/>
          <w:szCs w:val="28"/>
        </w:rPr>
        <w:t>»</w:t>
      </w:r>
      <w:r w:rsidRPr="00DA67C4">
        <w:rPr>
          <w:sz w:val="28"/>
          <w:szCs w:val="28"/>
        </w:rPr>
        <w:t>.</w:t>
      </w:r>
      <w:r w:rsidRPr="0011132B">
        <w:rPr>
          <w:sz w:val="28"/>
          <w:szCs w:val="28"/>
        </w:rPr>
        <w:t xml:space="preserve"> </w:t>
      </w:r>
    </w:p>
    <w:p w:rsidR="00C056C2" w:rsidRPr="005264C7" w:rsidRDefault="00C056C2" w:rsidP="00C056C2">
      <w:pPr>
        <w:tabs>
          <w:tab w:val="left" w:pos="102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целом можно сделать вывод о достаточно хорошем уровне оперативного управления бюджетом Амурской области в 2014 г. Недостаток –  отсутствие внутренних стандартов планирования и исполнения бюджета, что позволило бы повысить инициативу министерств и муниципальных </w:t>
      </w:r>
      <w:r w:rsidRPr="005264C7">
        <w:rPr>
          <w:sz w:val="28"/>
          <w:szCs w:val="28"/>
        </w:rPr>
        <w:t>управленцев.</w:t>
      </w:r>
      <w:r>
        <w:rPr>
          <w:sz w:val="28"/>
          <w:szCs w:val="28"/>
        </w:rPr>
        <w:t xml:space="preserve"> При реализации п</w:t>
      </w:r>
      <w:r w:rsidRPr="005264C7">
        <w:rPr>
          <w:color w:val="000000"/>
          <w:sz w:val="28"/>
          <w:szCs w:val="28"/>
        </w:rPr>
        <w:t>рограммн</w:t>
      </w:r>
      <w:r>
        <w:rPr>
          <w:color w:val="000000"/>
          <w:sz w:val="28"/>
          <w:szCs w:val="28"/>
        </w:rPr>
        <w:t>ого</w:t>
      </w:r>
      <w:r w:rsidRPr="005264C7">
        <w:rPr>
          <w:color w:val="000000"/>
          <w:sz w:val="28"/>
          <w:szCs w:val="28"/>
        </w:rPr>
        <w:t xml:space="preserve"> подход</w:t>
      </w:r>
      <w:r>
        <w:rPr>
          <w:color w:val="000000"/>
          <w:sz w:val="28"/>
          <w:szCs w:val="28"/>
        </w:rPr>
        <w:t>а</w:t>
      </w:r>
      <w:r w:rsidRPr="005264C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5264C7">
        <w:rPr>
          <w:color w:val="000000"/>
          <w:sz w:val="28"/>
          <w:szCs w:val="28"/>
        </w:rPr>
        <w:t>сконцентрировать ресурсы бюджета на соответствующих направлениях деятельности с целью наиболее эффективного и результативного их использования.</w:t>
      </w:r>
    </w:p>
    <w:p w:rsidR="00C056C2" w:rsidRDefault="00C056C2" w:rsidP="00C056C2">
      <w:pPr>
        <w:jc w:val="both"/>
        <w:rPr>
          <w:sz w:val="20"/>
          <w:szCs w:val="20"/>
        </w:rPr>
      </w:pPr>
    </w:p>
    <w:p w:rsidR="0019412D" w:rsidRDefault="0019412D"/>
    <w:sectPr w:rsidR="0019412D" w:rsidSect="00BC79F3">
      <w:headerReference w:type="default" r:id="rId5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816"/>
      <w:docPartObj>
        <w:docPartGallery w:val="Page Numbers (Top of Page)"/>
        <w:docPartUnique/>
      </w:docPartObj>
    </w:sdtPr>
    <w:sdtEndPr/>
    <w:sdtContent>
      <w:p w:rsidR="00BC79F3" w:rsidRDefault="00C056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C79F3" w:rsidRDefault="00C056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56C2"/>
    <w:rsid w:val="0019412D"/>
    <w:rsid w:val="002D08A5"/>
    <w:rsid w:val="005A0D4A"/>
    <w:rsid w:val="007A4738"/>
    <w:rsid w:val="00C0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C056C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05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0;&#1052;&#1043;&#1059;!\&#1069;&#1082;&#1089;&#1087;&#1077;&#1088;&#1090;&#1080;&#1079;&#1072;%20&#1073;&#1102;&#1076;&#1078;&#1077;&#1090;&#1072;%202014\tmpB828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303702492134204E-2"/>
          <c:y val="0.24178261310600171"/>
          <c:w val="0.78116311382228421"/>
          <c:h val="0.7142912917144507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6447392232037396E-3"/>
                  <c:y val="-0.13220647476587841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Общегосудартсвенные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вопросы</a:t>
                    </a:r>
                  </a:p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2,59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1180277505397367"/>
                  <c:y val="-0.16847195844159679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Национальная 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оборона</a:t>
                    </a:r>
                  </a:p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0,06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.21016173085259102"/>
                  <c:y val="-4.486195543056255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Национальная 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безопасность</a:t>
                    </a:r>
                  </a:p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1,70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7.9904552283717081E-2"/>
                  <c:y val="2.6667991276382082E-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Национальная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экономика</a:t>
                    </a:r>
                  </a:p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16,86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-7.8919960662362079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Жилищно-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коммунальное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хозяйство</a:t>
                    </a:r>
                  </a:p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12,27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Охрана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окружающей 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среды</a:t>
                    </a:r>
                  </a:p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0,14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3.8393415855740722E-2"/>
                  <c:y val="8.5370334806678279E-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Образование</a:t>
                    </a:r>
                  </a:p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18,32</a:t>
                    </a:r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Культура,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кинемотаграфия</a:t>
                    </a:r>
                  </a:p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0,64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4.0431153609816403E-3"/>
                  <c:y val="5.5325134793558071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Здравоохранение</a:t>
                    </a:r>
                  </a:p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14,05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2.7944128576659215E-4"/>
                  <c:y val="6.0145457682296947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Социальная 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политика</a:t>
                    </a:r>
                  </a:p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22,95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0.12300231044075129"/>
                  <c:y val="5.2760962934027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Физическая </a:t>
                    </a:r>
                  </a:p>
                  <a:p>
                    <a:r>
                      <a:rPr lang="ru-RU" sz="1100"/>
                      <a:t>культура и спорт</a:t>
                    </a:r>
                  </a:p>
                  <a:p>
                    <a:r>
                      <a:rPr lang="en-US" sz="1100"/>
                      <a:t>0,40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-0.19311396070146536"/>
                  <c:y val="-0.10363946740059857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СМИ</a:t>
                    </a:r>
                  </a:p>
                  <a:p>
                    <a:r>
                      <a:rPr lang="en-US" sz="1100"/>
                      <a:t>0,16</a:t>
                    </a:r>
                  </a:p>
                </c:rich>
              </c:tx>
              <c:showVal val="1"/>
            </c:dLbl>
            <c:dLbl>
              <c:idx val="12"/>
              <c:layout>
                <c:manualLayout>
                  <c:x val="-3.5125937958984457E-2"/>
                  <c:y val="-0.12848775563894327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Обслуживание</a:t>
                    </a:r>
                  </a:p>
                  <a:p>
                    <a:r>
                      <a:rPr lang="ru-RU" sz="1100"/>
                      <a:t>государственного и</a:t>
                    </a:r>
                  </a:p>
                  <a:p>
                    <a:r>
                      <a:rPr lang="ru-RU" sz="1100"/>
                      <a:t>муниципального долга</a:t>
                    </a:r>
                  </a:p>
                  <a:p>
                    <a:r>
                      <a:rPr lang="en-US" sz="1100"/>
                      <a:t>2,53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6.1548121556959295E-2"/>
                  <c:y val="-6.550174601140189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Межбюджетные 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трансферты</a:t>
                    </a:r>
                  </a:p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7,32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Sheet1!$G$12:$G$26</c:f>
              <c:strCache>
                <c:ptCount val="1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ОБСЛУЖИВАНИЕ ГОСУДАРСТВЕННОГО И МУНИЦИПАЛЬНОГО ДОЛГА</c:v>
                </c:pt>
                <c:pt idx="13">
                  <c:v>МЕЖБЮДЖЕТНЫЕ ТРАНСФЕРТЫ ОБЩЕГО ХАРАКТЕРА БЮДЖЕТАМ СУБЪЕКТОВ РОССИЙСКОЙ ФЕДЕРАЦИИ И МУНИЦИПАЛЬНЫХ ОБРАЗОВАНИЙ</c:v>
                </c:pt>
                <c:pt idx="14">
                  <c:v>ОБРАЗОВАНИЕ</c:v>
                </c:pt>
              </c:strCache>
            </c:strRef>
          </c:cat>
          <c:val>
            <c:numRef>
              <c:f>Sheet1!$N$12:$N$26</c:f>
              <c:numCache>
                <c:formatCode>0.00</c:formatCode>
                <c:ptCount val="15"/>
                <c:pt idx="0">
                  <c:v>2.5879077008035063</c:v>
                </c:pt>
                <c:pt idx="1">
                  <c:v>5.6025775278979423E-2</c:v>
                </c:pt>
                <c:pt idx="2">
                  <c:v>1.6999826549510206</c:v>
                </c:pt>
                <c:pt idx="3">
                  <c:v>16.86336500610059</c:v>
                </c:pt>
                <c:pt idx="4">
                  <c:v>12.271238318400808</c:v>
                </c:pt>
                <c:pt idx="5">
                  <c:v>0.14292848215236001</c:v>
                </c:pt>
                <c:pt idx="6">
                  <c:v>18.316632932911602</c:v>
                </c:pt>
                <c:pt idx="7">
                  <c:v>0.64377454339521689</c:v>
                </c:pt>
                <c:pt idx="8">
                  <c:v>14.053148763368085</c:v>
                </c:pt>
                <c:pt idx="9">
                  <c:v>22.94639805243121</c:v>
                </c:pt>
                <c:pt idx="10">
                  <c:v>0.40443128433568382</c:v>
                </c:pt>
                <c:pt idx="11">
                  <c:v>0.16046911995874277</c:v>
                </c:pt>
                <c:pt idx="12">
                  <c:v>2.5305689970203797</c:v>
                </c:pt>
                <c:pt idx="13">
                  <c:v>7.3231283688917372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2015-06-16T03:53:00Z</dcterms:created>
  <dcterms:modified xsi:type="dcterms:W3CDTF">2015-06-16T03:54:00Z</dcterms:modified>
</cp:coreProperties>
</file>