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A" w:rsidRPr="00E65C1A" w:rsidRDefault="00E65C1A" w:rsidP="00730436">
      <w:pPr>
        <w:spacing w:line="240" w:lineRule="auto"/>
        <w:ind w:right="141" w:firstLine="709"/>
        <w:jc w:val="center"/>
        <w:textAlignment w:val="baseline"/>
        <w:outlineLvl w:val="1"/>
        <w:rPr>
          <w:rFonts w:eastAsia="Times New Roman" w:cs="Times New Roman"/>
          <w:color w:val="333333"/>
          <w:kern w:val="36"/>
          <w:szCs w:val="28"/>
          <w:lang w:eastAsia="ru-RU"/>
        </w:rPr>
      </w:pPr>
      <w:r w:rsidRPr="00E65C1A">
        <w:rPr>
          <w:rFonts w:eastAsia="Times New Roman" w:cs="Times New Roman"/>
          <w:b/>
          <w:color w:val="333333"/>
          <w:kern w:val="36"/>
          <w:sz w:val="32"/>
          <w:szCs w:val="28"/>
          <w:lang w:eastAsia="ru-RU"/>
        </w:rPr>
        <w:t xml:space="preserve">Бизнесу удалось достучаться до ЦБ и </w:t>
      </w:r>
      <w:proofErr w:type="spellStart"/>
      <w:r w:rsidRPr="00E65C1A">
        <w:rPr>
          <w:rFonts w:eastAsia="Times New Roman" w:cs="Times New Roman"/>
          <w:b/>
          <w:color w:val="333333"/>
          <w:kern w:val="36"/>
          <w:sz w:val="32"/>
          <w:szCs w:val="28"/>
          <w:lang w:eastAsia="ru-RU"/>
        </w:rPr>
        <w:t>Росфинмониторинга</w:t>
      </w:r>
      <w:proofErr w:type="spellEnd"/>
    </w:p>
    <w:p w:rsidR="00730436" w:rsidRDefault="00730436" w:rsidP="0073043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:rsidR="00E65C1A" w:rsidRPr="00E65C1A" w:rsidRDefault="00E65C1A" w:rsidP="0073043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65C1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На прошедшей 26 октября 2017 года встрече руководителей ЦБ и </w:t>
      </w:r>
      <w:proofErr w:type="spellStart"/>
      <w:r w:rsidRPr="00E65C1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Росфинмониторинга</w:t>
      </w:r>
      <w:proofErr w:type="spellEnd"/>
      <w:r w:rsidRPr="00E65C1A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с представителями банковского и бизнес-сообщества принято решение проработать механизм реабилитации клиентов из черных списков. Регулятора также попросили проверить обоснованность решений банков по отказам клиентам — из-за чего те попадают в черные списки.</w:t>
      </w:r>
    </w:p>
    <w:p w:rsidR="00730436" w:rsidRDefault="00730436" w:rsidP="0073043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</w:p>
    <w:p w:rsidR="00E65C1A" w:rsidRPr="00E65C1A" w:rsidRDefault="00E65C1A" w:rsidP="0073043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bookmarkStart w:id="0" w:name="_GoBack"/>
      <w:bookmarkEnd w:id="0"/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26 октября 2017 года состоялась встреча главы ЦБ Эльвиры </w:t>
      </w:r>
      <w:proofErr w:type="spellStart"/>
      <w:r w:rsidRPr="00E65C1A">
        <w:rPr>
          <w:rFonts w:eastAsia="Times New Roman" w:cs="Times New Roman"/>
          <w:color w:val="333333"/>
          <w:szCs w:val="28"/>
          <w:lang w:eastAsia="ru-RU"/>
        </w:rPr>
        <w:t>Набиуллиной</w:t>
      </w:r>
      <w:proofErr w:type="spellEnd"/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, представителей банковского и бизнес-сообщества, посвященная черным спискам клиентов—отказников банков и проработке механизмов их реабилитации. Как сообщили “Ъ” участники встречи, впервые с момента введения черных списков отказников ЦБ сменил риторику и признал: механизм реабилитации необходим. На встрече присутствовали Эльвира </w:t>
      </w:r>
      <w:proofErr w:type="spellStart"/>
      <w:r w:rsidRPr="00E65C1A">
        <w:rPr>
          <w:rFonts w:eastAsia="Times New Roman" w:cs="Times New Roman"/>
          <w:color w:val="333333"/>
          <w:szCs w:val="28"/>
          <w:lang w:eastAsia="ru-RU"/>
        </w:rPr>
        <w:t>Набиуллина</w:t>
      </w:r>
      <w:proofErr w:type="spellEnd"/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 и ряд других представителей ЦБ, глава </w:t>
      </w:r>
      <w:proofErr w:type="spellStart"/>
      <w:r w:rsidRPr="00E65C1A">
        <w:rPr>
          <w:rFonts w:eastAsia="Times New Roman" w:cs="Times New Roman"/>
          <w:color w:val="333333"/>
          <w:szCs w:val="28"/>
          <w:lang w:eastAsia="ru-RU"/>
        </w:rPr>
        <w:t>Росфинмониторинга</w:t>
      </w:r>
      <w:proofErr w:type="spellEnd"/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 Юрий </w:t>
      </w:r>
      <w:proofErr w:type="spellStart"/>
      <w:r w:rsidRPr="00E65C1A">
        <w:rPr>
          <w:rFonts w:eastAsia="Times New Roman" w:cs="Times New Roman"/>
          <w:color w:val="333333"/>
          <w:szCs w:val="28"/>
          <w:lang w:eastAsia="ru-RU"/>
        </w:rPr>
        <w:t>Чиханчин</w:t>
      </w:r>
      <w:proofErr w:type="spellEnd"/>
      <w:r w:rsidRPr="00E65C1A">
        <w:rPr>
          <w:rFonts w:eastAsia="Times New Roman" w:cs="Times New Roman"/>
          <w:color w:val="333333"/>
          <w:szCs w:val="28"/>
          <w:lang w:eastAsia="ru-RU"/>
        </w:rPr>
        <w:t>, представители бизнеса — «Опоры России» и бизнес-омбудсмен Борис Титов, а также представители банковского сообщества — ассоциация банков «Россия».</w:t>
      </w:r>
    </w:p>
    <w:p w:rsidR="00E65C1A" w:rsidRPr="00E65C1A" w:rsidRDefault="00E65C1A" w:rsidP="0073043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65C1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 xml:space="preserve">Черный список формируют </w:t>
      </w:r>
      <w:proofErr w:type="spellStart"/>
      <w:r w:rsidRPr="00E65C1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Росфинмониторинг</w:t>
      </w:r>
      <w:proofErr w:type="spellEnd"/>
      <w:r w:rsidRPr="00E65C1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 xml:space="preserve"> и ЦБ, туда компании и граждане попадают при первом же отказе банка в проведении операции как сомнительной, только с начала 2017 года таких операций было около 460 тыс. (</w:t>
      </w:r>
      <w:hyperlink r:id="rId4" w:history="1">
        <w:r w:rsidRPr="00E65C1A">
          <w:rPr>
            <w:rFonts w:eastAsia="Times New Roman" w:cs="Times New Roman"/>
            <w:i/>
            <w:iCs/>
            <w:color w:val="006697"/>
            <w:szCs w:val="28"/>
            <w:bdr w:val="none" w:sz="0" w:space="0" w:color="auto" w:frame="1"/>
            <w:lang w:eastAsia="ru-RU"/>
          </w:rPr>
          <w:t>см. “Ъ” о</w:t>
        </w:r>
        <w:r w:rsidRPr="00E65C1A">
          <w:rPr>
            <w:rFonts w:eastAsia="Times New Roman" w:cs="Times New Roman"/>
            <w:i/>
            <w:iCs/>
            <w:color w:val="006697"/>
            <w:szCs w:val="28"/>
            <w:bdr w:val="none" w:sz="0" w:space="0" w:color="auto" w:frame="1"/>
            <w:lang w:eastAsia="ru-RU"/>
          </w:rPr>
          <w:t>т</w:t>
        </w:r>
        <w:r w:rsidRPr="00E65C1A">
          <w:rPr>
            <w:rFonts w:eastAsia="Times New Roman" w:cs="Times New Roman"/>
            <w:i/>
            <w:iCs/>
            <w:color w:val="006697"/>
            <w:szCs w:val="28"/>
            <w:bdr w:val="none" w:sz="0" w:space="0" w:color="auto" w:frame="1"/>
            <w:lang w:eastAsia="ru-RU"/>
          </w:rPr>
          <w:t xml:space="preserve"> 24 октября</w:t>
        </w:r>
      </w:hyperlink>
      <w:r w:rsidRPr="00E65C1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), список доступен банкам с июня. Попадание компании в черный список фактически лишает ее доступа к банковским услугам — другие кредитные организации предпочитают не принимать на обслуживание компании из списка (</w:t>
      </w:r>
      <w:hyperlink r:id="rId5" w:history="1">
        <w:r w:rsidRPr="00E65C1A">
          <w:rPr>
            <w:rFonts w:eastAsia="Times New Roman" w:cs="Times New Roman"/>
            <w:i/>
            <w:iCs/>
            <w:color w:val="006697"/>
            <w:szCs w:val="28"/>
            <w:bdr w:val="none" w:sz="0" w:space="0" w:color="auto" w:frame="1"/>
            <w:lang w:eastAsia="ru-RU"/>
          </w:rPr>
          <w:t>см. “Ъ” от 6 октября</w:t>
        </w:r>
      </w:hyperlink>
      <w:r w:rsidRPr="00E65C1A">
        <w:rPr>
          <w:rFonts w:eastAsia="Times New Roman" w:cs="Times New Roman"/>
          <w:i/>
          <w:iCs/>
          <w:color w:val="333333"/>
          <w:szCs w:val="28"/>
          <w:bdr w:val="none" w:sz="0" w:space="0" w:color="auto" w:frame="1"/>
          <w:lang w:eastAsia="ru-RU"/>
        </w:rPr>
        <w:t>).</w:t>
      </w:r>
    </w:p>
    <w:p w:rsidR="00E65C1A" w:rsidRPr="00E65C1A" w:rsidRDefault="00E65C1A" w:rsidP="0073043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Во время встречи Банк России впервые сменил риторику и согласился с бизнесом и </w:t>
      </w:r>
      <w:proofErr w:type="spellStart"/>
      <w:r w:rsidRPr="00E65C1A">
        <w:rPr>
          <w:rFonts w:eastAsia="Times New Roman" w:cs="Times New Roman"/>
          <w:color w:val="333333"/>
          <w:szCs w:val="28"/>
          <w:lang w:eastAsia="ru-RU"/>
        </w:rPr>
        <w:t>Росфинмониторингом</w:t>
      </w:r>
      <w:proofErr w:type="spellEnd"/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 в вопросе необходимости проработки механизма реабилитации клиентов банков из черного списка.</w:t>
      </w:r>
    </w:p>
    <w:p w:rsidR="00E65C1A" w:rsidRPr="00E65C1A" w:rsidRDefault="00E65C1A" w:rsidP="0073043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65C1A">
        <w:rPr>
          <w:rFonts w:eastAsia="Times New Roman" w:cs="Times New Roman"/>
          <w:color w:val="333333"/>
          <w:szCs w:val="28"/>
          <w:lang w:eastAsia="ru-RU"/>
        </w:rPr>
        <w:t>Тем более что как минимум 10% клиентов попали в черный список по ошибке.</w:t>
      </w:r>
    </w:p>
    <w:p w:rsidR="00E65C1A" w:rsidRPr="00E65C1A" w:rsidRDefault="00E65C1A" w:rsidP="0073043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В настоящее время в списке около 460 тыс. компаний и физлиц. Представители бизнеса посетовали, что многих клиентов в черные списки заносят госбанки, которые с использованием </w:t>
      </w:r>
      <w:proofErr w:type="spellStart"/>
      <w:r w:rsidRPr="00E65C1A">
        <w:rPr>
          <w:rFonts w:eastAsia="Times New Roman" w:cs="Times New Roman"/>
          <w:color w:val="333333"/>
          <w:szCs w:val="28"/>
          <w:lang w:eastAsia="ru-RU"/>
        </w:rPr>
        <w:t>антиотмывочного</w:t>
      </w:r>
      <w:proofErr w:type="spellEnd"/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 законодательства избавляются от невыгодных корпоративных клиентов (малый бизнес с небольшими остатками по счетам) — для этого достаточно двух отказов в проведении операций.</w:t>
      </w:r>
    </w:p>
    <w:p w:rsidR="00E65C1A" w:rsidRPr="00E65C1A" w:rsidRDefault="00E65C1A" w:rsidP="0073043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Глава ассоциации «Россия» Георгий </w:t>
      </w:r>
      <w:proofErr w:type="spellStart"/>
      <w:r w:rsidRPr="00E65C1A">
        <w:rPr>
          <w:rFonts w:eastAsia="Times New Roman" w:cs="Times New Roman"/>
          <w:color w:val="333333"/>
          <w:szCs w:val="28"/>
          <w:lang w:eastAsia="ru-RU"/>
        </w:rPr>
        <w:t>Лунтовский</w:t>
      </w:r>
      <w:proofErr w:type="spellEnd"/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 отметил: для банков сейчас актуальна проблема, когда расходы на </w:t>
      </w:r>
      <w:proofErr w:type="spellStart"/>
      <w:r w:rsidRPr="00E65C1A">
        <w:rPr>
          <w:rFonts w:eastAsia="Times New Roman" w:cs="Times New Roman"/>
          <w:color w:val="333333"/>
          <w:szCs w:val="28"/>
          <w:lang w:eastAsia="ru-RU"/>
        </w:rPr>
        <w:t>комплаенс</w:t>
      </w:r>
      <w:proofErr w:type="spellEnd"/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 превышают прибыль банка от обслуживания клиента. В ответ глава ЦБ Эльвира </w:t>
      </w:r>
      <w:proofErr w:type="spellStart"/>
      <w:r w:rsidRPr="00E65C1A">
        <w:rPr>
          <w:rFonts w:eastAsia="Times New Roman" w:cs="Times New Roman"/>
          <w:color w:val="333333"/>
          <w:szCs w:val="28"/>
          <w:lang w:eastAsia="ru-RU"/>
        </w:rPr>
        <w:t>Набиуллина</w:t>
      </w:r>
      <w:proofErr w:type="spellEnd"/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 пообещала, что проблема будет решена, так как в банках с базовой лицензией эти расходы будут ниже.</w:t>
      </w:r>
    </w:p>
    <w:p w:rsidR="00E65C1A" w:rsidRPr="00E65C1A" w:rsidRDefault="00E65C1A" w:rsidP="0073043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65C1A">
        <w:rPr>
          <w:rFonts w:eastAsia="Times New Roman" w:cs="Times New Roman"/>
          <w:color w:val="333333"/>
          <w:szCs w:val="28"/>
          <w:lang w:eastAsia="ru-RU"/>
        </w:rPr>
        <w:t>Кроме того, на совещании было решено проработать вопрос о минимально допустимой налоговой нагрузке. Сейчас клиентам, чьи налоги составляют менее 0,9% от выручки, банк фактически автоматом отказывает в обслуживании, и они в результате также оказываются в черном списке. Участники встречи пришли к мнению: данный показатель не учитывает отраслевую специфику и особенности налогообложения малого бизнеса и должен быть пересмотрен.</w:t>
      </w:r>
    </w:p>
    <w:p w:rsidR="00E65C1A" w:rsidRPr="00E65C1A" w:rsidRDefault="00E65C1A" w:rsidP="0073043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Окончательного решения, каким образом будут реабилитированы клиенты банков, принято не было. Обсуждались варианты поручить работу по реабилитации </w:t>
      </w:r>
      <w:proofErr w:type="spellStart"/>
      <w:r w:rsidRPr="00E65C1A">
        <w:rPr>
          <w:rFonts w:eastAsia="Times New Roman" w:cs="Times New Roman"/>
          <w:color w:val="333333"/>
          <w:szCs w:val="28"/>
          <w:lang w:eastAsia="ru-RU"/>
        </w:rPr>
        <w:t>Росфинмониторингу</w:t>
      </w:r>
      <w:proofErr w:type="spellEnd"/>
      <w:r w:rsidRPr="00E65C1A">
        <w:rPr>
          <w:rFonts w:eastAsia="Times New Roman" w:cs="Times New Roman"/>
          <w:color w:val="333333"/>
          <w:szCs w:val="28"/>
          <w:lang w:eastAsia="ru-RU"/>
        </w:rPr>
        <w:t xml:space="preserve">, службе Банка России по защите прав потребителей финансовых услуг или же службе бизнес-омбудсмена. В результате было решено в пилотном режиме </w:t>
      </w:r>
      <w:r w:rsidRPr="00E65C1A">
        <w:rPr>
          <w:rFonts w:eastAsia="Times New Roman" w:cs="Times New Roman"/>
          <w:color w:val="333333"/>
          <w:szCs w:val="28"/>
          <w:lang w:eastAsia="ru-RU"/>
        </w:rPr>
        <w:lastRenderedPageBreak/>
        <w:t>прорабатывать механизм реабилитации на основании тех жалоб, которые были получены службой бизнес-омбудсмена (в настоящее время их 40 штук).</w:t>
      </w:r>
    </w:p>
    <w:p w:rsidR="00E65C1A" w:rsidRPr="00E65C1A" w:rsidRDefault="00E65C1A" w:rsidP="0073043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65C1A">
        <w:rPr>
          <w:rFonts w:eastAsia="Times New Roman" w:cs="Times New Roman"/>
          <w:color w:val="333333"/>
          <w:szCs w:val="28"/>
          <w:lang w:eastAsia="ru-RU"/>
        </w:rPr>
        <w:t>Был поднят вопрос и об отсутствии ответственности кредитных организаций за необоснованные отказы в обслуживании клиентам или в проведении операций, которые повлекли их включение в черный список.</w:t>
      </w:r>
    </w:p>
    <w:p w:rsidR="00E65C1A" w:rsidRPr="00E65C1A" w:rsidRDefault="00E65C1A" w:rsidP="00730436">
      <w:pPr>
        <w:shd w:val="clear" w:color="auto" w:fill="FFFFFF"/>
        <w:spacing w:line="240" w:lineRule="auto"/>
        <w:ind w:firstLine="709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65C1A">
        <w:rPr>
          <w:rFonts w:eastAsia="Times New Roman" w:cs="Times New Roman"/>
          <w:color w:val="333333"/>
          <w:szCs w:val="28"/>
          <w:lang w:eastAsia="ru-RU"/>
        </w:rPr>
        <w:t>Участники встречи предложили ЦБ провести специальные «тематические» проверки кредитных организаций для выявления подобных необоснованных решений с широким освещением их результатов в СМИ.</w:t>
      </w:r>
    </w:p>
    <w:p w:rsidR="00E65C1A" w:rsidRDefault="00E65C1A" w:rsidP="00730436">
      <w:pPr>
        <w:spacing w:line="240" w:lineRule="auto"/>
        <w:ind w:firstLine="709"/>
        <w:jc w:val="both"/>
      </w:pPr>
    </w:p>
    <w:p w:rsidR="00E65C1A" w:rsidRDefault="00E65C1A" w:rsidP="00730436">
      <w:pPr>
        <w:spacing w:line="240" w:lineRule="auto"/>
        <w:ind w:firstLine="709"/>
        <w:jc w:val="both"/>
      </w:pPr>
    </w:p>
    <w:p w:rsidR="003A3DFE" w:rsidRPr="00730436" w:rsidRDefault="00E65C1A" w:rsidP="00730436">
      <w:pPr>
        <w:spacing w:line="240" w:lineRule="auto"/>
        <w:ind w:firstLine="709"/>
        <w:jc w:val="both"/>
        <w:rPr>
          <w:i/>
          <w:lang w:val="en-US"/>
        </w:rPr>
      </w:pPr>
      <w:r w:rsidRPr="00E65C1A">
        <w:rPr>
          <w:i/>
        </w:rPr>
        <w:t xml:space="preserve">По материалам </w:t>
      </w:r>
      <w:r w:rsidR="00730436">
        <w:rPr>
          <w:i/>
        </w:rPr>
        <w:t>Коммерсант.</w:t>
      </w:r>
      <w:proofErr w:type="spellStart"/>
      <w:r w:rsidR="00730436">
        <w:rPr>
          <w:i/>
          <w:lang w:val="en-US"/>
        </w:rPr>
        <w:t>ru</w:t>
      </w:r>
      <w:proofErr w:type="spellEnd"/>
    </w:p>
    <w:sectPr w:rsidR="003A3DFE" w:rsidRPr="00730436" w:rsidSect="00730436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1A"/>
    <w:rsid w:val="003A3DFE"/>
    <w:rsid w:val="00730436"/>
    <w:rsid w:val="00A05605"/>
    <w:rsid w:val="00E6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DBC4"/>
  <w15:chartTrackingRefBased/>
  <w15:docId w15:val="{2EB57BFE-594D-4389-A02F-B442A3E7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05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65C1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5C1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65C1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5C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articletext">
    <w:name w:val="b-article__text"/>
    <w:basedOn w:val="a"/>
    <w:rsid w:val="00E65C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E65C1A"/>
  </w:style>
  <w:style w:type="character" w:styleId="a3">
    <w:name w:val="Hyperlink"/>
    <w:basedOn w:val="a0"/>
    <w:uiPriority w:val="99"/>
    <w:semiHidden/>
    <w:unhideWhenUsed/>
    <w:rsid w:val="00E65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247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823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705106852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790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593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960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19964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mmersant.ru/doc/3429976" TargetMode="External"/><Relationship Id="rId4" Type="http://schemas.openxmlformats.org/officeDocument/2006/relationships/hyperlink" Target="https://www.kommersant.ru/doc/3447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501</Words>
  <Characters>3309</Characters>
  <Application>Microsoft Office Word</Application>
  <DocSecurity>0</DocSecurity>
  <Lines>66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2017-11-07T02:04:00Z</dcterms:created>
  <dcterms:modified xsi:type="dcterms:W3CDTF">2017-11-07T02:22:00Z</dcterms:modified>
</cp:coreProperties>
</file>