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7D" w:rsidRDefault="00224F7D" w:rsidP="00112B8E">
      <w:pPr>
        <w:pStyle w:val="Style2"/>
        <w:widowControl/>
        <w:spacing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Заключение</w:t>
      </w:r>
    </w:p>
    <w:p w:rsidR="00224F7D" w:rsidRDefault="00315FF4" w:rsidP="00112B8E">
      <w:pPr>
        <w:pStyle w:val="Style2"/>
        <w:widowControl/>
        <w:spacing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Экспертного с</w:t>
      </w:r>
      <w:r w:rsidR="00224F7D">
        <w:rPr>
          <w:rStyle w:val="FontStyle15"/>
          <w:sz w:val="28"/>
          <w:szCs w:val="28"/>
        </w:rPr>
        <w:t>овета Общественной палаты Амурской области</w:t>
      </w:r>
    </w:p>
    <w:p w:rsidR="00224F7D" w:rsidRDefault="00224F7D" w:rsidP="00112B8E">
      <w:pPr>
        <w:pStyle w:val="Style2"/>
        <w:widowControl/>
        <w:spacing w:line="240" w:lineRule="auto"/>
        <w:jc w:val="center"/>
        <w:rPr>
          <w:b/>
          <w:sz w:val="28"/>
          <w:szCs w:val="20"/>
        </w:rPr>
      </w:pPr>
      <w:r>
        <w:rPr>
          <w:rStyle w:val="FontStyle15"/>
          <w:sz w:val="28"/>
          <w:szCs w:val="28"/>
        </w:rPr>
        <w:t xml:space="preserve">по </w:t>
      </w:r>
      <w:r w:rsidRPr="00413990">
        <w:rPr>
          <w:b/>
          <w:sz w:val="28"/>
          <w:szCs w:val="20"/>
        </w:rPr>
        <w:t>проект</w:t>
      </w:r>
      <w:r>
        <w:rPr>
          <w:b/>
          <w:sz w:val="28"/>
          <w:szCs w:val="20"/>
        </w:rPr>
        <w:t>у</w:t>
      </w:r>
      <w:r w:rsidRPr="00413990">
        <w:rPr>
          <w:b/>
          <w:sz w:val="28"/>
          <w:szCs w:val="20"/>
        </w:rPr>
        <w:t xml:space="preserve"> закона</w:t>
      </w:r>
      <w:r>
        <w:rPr>
          <w:b/>
          <w:sz w:val="28"/>
          <w:szCs w:val="20"/>
        </w:rPr>
        <w:t xml:space="preserve"> Амурской области</w:t>
      </w:r>
    </w:p>
    <w:p w:rsidR="00224F7D" w:rsidRDefault="00224F7D" w:rsidP="00112B8E">
      <w:pPr>
        <w:pStyle w:val="Style2"/>
        <w:widowControl/>
        <w:spacing w:line="240" w:lineRule="auto"/>
        <w:jc w:val="center"/>
        <w:rPr>
          <w:sz w:val="28"/>
          <w:szCs w:val="20"/>
        </w:rPr>
      </w:pPr>
      <w:r w:rsidRPr="00413990">
        <w:rPr>
          <w:b/>
          <w:sz w:val="28"/>
          <w:szCs w:val="20"/>
        </w:rPr>
        <w:t xml:space="preserve">«Об областном бюджете на </w:t>
      </w:r>
      <w:r>
        <w:rPr>
          <w:b/>
          <w:sz w:val="28"/>
          <w:szCs w:val="20"/>
        </w:rPr>
        <w:t>2016 год</w:t>
      </w:r>
      <w:r w:rsidRPr="00413990">
        <w:rPr>
          <w:b/>
          <w:sz w:val="28"/>
          <w:szCs w:val="20"/>
        </w:rPr>
        <w:t>»</w:t>
      </w:r>
    </w:p>
    <w:p w:rsidR="00224F7D" w:rsidRDefault="00224F7D" w:rsidP="0011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B1F5E" w:rsidRPr="00F650FB" w:rsidRDefault="006B1F5E" w:rsidP="0011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B1F5E">
        <w:rPr>
          <w:rFonts w:ascii="Times New Roman" w:hAnsi="Times New Roman" w:cs="Times New Roman"/>
          <w:sz w:val="28"/>
          <w:szCs w:val="20"/>
        </w:rPr>
        <w:t xml:space="preserve">Рассмотрев внесенный в порядке законодательной инициативы губернатором области, проект закона «Об областном бюджете на </w:t>
      </w:r>
      <w:r w:rsidR="00224F7D">
        <w:rPr>
          <w:rFonts w:ascii="Times New Roman" w:hAnsi="Times New Roman" w:cs="Times New Roman"/>
          <w:sz w:val="28"/>
          <w:szCs w:val="20"/>
        </w:rPr>
        <w:t>2016</w:t>
      </w:r>
      <w:r w:rsidRPr="006B1F5E">
        <w:rPr>
          <w:rFonts w:ascii="Times New Roman" w:hAnsi="Times New Roman" w:cs="Times New Roman"/>
          <w:sz w:val="28"/>
          <w:szCs w:val="20"/>
        </w:rPr>
        <w:t xml:space="preserve"> год», </w:t>
      </w:r>
      <w:r w:rsidR="00224F7D" w:rsidRPr="00F650FB">
        <w:rPr>
          <w:rFonts w:ascii="Times New Roman" w:hAnsi="Times New Roman" w:cs="Times New Roman"/>
          <w:sz w:val="28"/>
          <w:szCs w:val="20"/>
        </w:rPr>
        <w:t xml:space="preserve">Экспертный </w:t>
      </w:r>
      <w:r w:rsidR="00C64B5C">
        <w:rPr>
          <w:rFonts w:ascii="Times New Roman" w:hAnsi="Times New Roman" w:cs="Times New Roman"/>
          <w:sz w:val="28"/>
          <w:szCs w:val="20"/>
        </w:rPr>
        <w:t>с</w:t>
      </w:r>
      <w:r w:rsidR="00224F7D" w:rsidRPr="00F650FB">
        <w:rPr>
          <w:rFonts w:ascii="Times New Roman" w:hAnsi="Times New Roman" w:cs="Times New Roman"/>
          <w:sz w:val="28"/>
          <w:szCs w:val="20"/>
        </w:rPr>
        <w:t>овет</w:t>
      </w:r>
      <w:r w:rsidRPr="00F650FB">
        <w:rPr>
          <w:rFonts w:ascii="Times New Roman" w:hAnsi="Times New Roman" w:cs="Times New Roman"/>
          <w:sz w:val="28"/>
          <w:szCs w:val="20"/>
        </w:rPr>
        <w:t xml:space="preserve"> Общественной </w:t>
      </w:r>
      <w:r w:rsidR="00C64B5C">
        <w:rPr>
          <w:rFonts w:ascii="Times New Roman" w:hAnsi="Times New Roman" w:cs="Times New Roman"/>
          <w:sz w:val="28"/>
          <w:szCs w:val="20"/>
        </w:rPr>
        <w:t>п</w:t>
      </w:r>
      <w:r w:rsidRPr="00F650FB">
        <w:rPr>
          <w:rFonts w:ascii="Times New Roman" w:hAnsi="Times New Roman" w:cs="Times New Roman"/>
          <w:sz w:val="28"/>
          <w:szCs w:val="20"/>
        </w:rPr>
        <w:t>алаты Амурской области сделал следующие выводы.</w:t>
      </w:r>
    </w:p>
    <w:p w:rsidR="00F650FB" w:rsidRPr="00F650FB" w:rsidRDefault="00F650FB" w:rsidP="0011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650FB">
        <w:rPr>
          <w:rFonts w:ascii="Times New Roman" w:hAnsi="Times New Roman" w:cs="Times New Roman"/>
          <w:sz w:val="28"/>
          <w:szCs w:val="28"/>
        </w:rPr>
        <w:t>Необходимо отметить, что проект бюджета Амурской области не отражает сложных стагнационных процессов, происходящих в России в 2015 году, которые окажут негативное влияние на показатели развития и результативности всех отраслей экономической деятельности на фоне протекающих структурных изменени</w:t>
      </w:r>
      <w:r w:rsidR="00C64B5C">
        <w:rPr>
          <w:rFonts w:ascii="Times New Roman" w:hAnsi="Times New Roman" w:cs="Times New Roman"/>
          <w:sz w:val="28"/>
          <w:szCs w:val="28"/>
        </w:rPr>
        <w:t>й</w:t>
      </w:r>
      <w:r w:rsidRPr="00F650FB">
        <w:rPr>
          <w:rFonts w:ascii="Times New Roman" w:hAnsi="Times New Roman" w:cs="Times New Roman"/>
          <w:sz w:val="28"/>
          <w:szCs w:val="28"/>
        </w:rPr>
        <w:t xml:space="preserve"> в экономике Р</w:t>
      </w:r>
      <w:r w:rsidR="00C64B5C">
        <w:rPr>
          <w:rFonts w:ascii="Times New Roman" w:hAnsi="Times New Roman" w:cs="Times New Roman"/>
          <w:sz w:val="28"/>
          <w:szCs w:val="28"/>
        </w:rPr>
        <w:t>оссии</w:t>
      </w:r>
      <w:r w:rsidRPr="00F650FB">
        <w:rPr>
          <w:rFonts w:ascii="Times New Roman" w:hAnsi="Times New Roman" w:cs="Times New Roman"/>
          <w:sz w:val="28"/>
          <w:szCs w:val="28"/>
        </w:rPr>
        <w:t>.</w:t>
      </w:r>
    </w:p>
    <w:p w:rsidR="006B1F5E" w:rsidRPr="006B1F5E" w:rsidRDefault="006B1F5E" w:rsidP="0011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650FB">
        <w:rPr>
          <w:rFonts w:ascii="Times New Roman" w:hAnsi="Times New Roman" w:cs="Times New Roman"/>
          <w:sz w:val="28"/>
          <w:szCs w:val="20"/>
        </w:rPr>
        <w:t>Прогнозируемый</w:t>
      </w:r>
      <w:r w:rsidRPr="006B1F5E">
        <w:rPr>
          <w:rFonts w:ascii="Times New Roman" w:hAnsi="Times New Roman" w:cs="Times New Roman"/>
          <w:sz w:val="28"/>
          <w:szCs w:val="20"/>
        </w:rPr>
        <w:t xml:space="preserve"> в очередном финансовом году и плановом периоде общий объем налоговых и неналоговых доходов областного бюджета снова занижен, как и в предыдущие годы</w:t>
      </w:r>
      <w:r w:rsidR="00C64B5C">
        <w:rPr>
          <w:rFonts w:ascii="Times New Roman" w:hAnsi="Times New Roman" w:cs="Times New Roman"/>
          <w:sz w:val="28"/>
          <w:szCs w:val="20"/>
        </w:rPr>
        <w:t>,</w:t>
      </w:r>
      <w:r w:rsidRPr="006B1F5E">
        <w:rPr>
          <w:rFonts w:ascii="Times New Roman" w:hAnsi="Times New Roman" w:cs="Times New Roman"/>
          <w:sz w:val="28"/>
          <w:szCs w:val="20"/>
        </w:rPr>
        <w:t xml:space="preserve"> и не в полной мере соответствует показателям прогноза социально-экономического развития области на </w:t>
      </w:r>
      <w:r w:rsidR="00224F7D">
        <w:rPr>
          <w:rFonts w:ascii="Times New Roman" w:hAnsi="Times New Roman" w:cs="Times New Roman"/>
          <w:sz w:val="28"/>
          <w:szCs w:val="20"/>
        </w:rPr>
        <w:t>2016 год</w:t>
      </w:r>
      <w:r w:rsidRPr="006B1F5E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9E7E2F" w:rsidRDefault="009E7E2F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5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C64B5C">
        <w:rPr>
          <w:rFonts w:ascii="Times New Roman" w:hAnsi="Times New Roman" w:cs="Times New Roman"/>
          <w:sz w:val="28"/>
          <w:szCs w:val="28"/>
        </w:rPr>
        <w:t>з</w:t>
      </w:r>
      <w:r w:rsidRPr="006B1F5E">
        <w:rPr>
          <w:rFonts w:ascii="Times New Roman" w:hAnsi="Times New Roman" w:cs="Times New Roman"/>
          <w:sz w:val="28"/>
          <w:szCs w:val="28"/>
        </w:rPr>
        <w:t>аключения</w:t>
      </w:r>
      <w:r w:rsidR="000B40A2" w:rsidRPr="006B1F5E">
        <w:rPr>
          <w:rFonts w:ascii="Times New Roman" w:hAnsi="Times New Roman" w:cs="Times New Roman"/>
          <w:sz w:val="28"/>
          <w:szCs w:val="28"/>
        </w:rPr>
        <w:t xml:space="preserve"> Экспертный совет</w:t>
      </w:r>
      <w:r w:rsidR="00C64B5C">
        <w:rPr>
          <w:rFonts w:ascii="Times New Roman" w:hAnsi="Times New Roman" w:cs="Times New Roman"/>
          <w:sz w:val="28"/>
          <w:szCs w:val="28"/>
        </w:rPr>
        <w:t xml:space="preserve"> </w:t>
      </w:r>
      <w:r w:rsidR="00F244A0" w:rsidRPr="006B1F5E">
        <w:rPr>
          <w:rFonts w:ascii="Times New Roman" w:hAnsi="Times New Roman" w:cs="Times New Roman"/>
          <w:sz w:val="28"/>
          <w:szCs w:val="28"/>
        </w:rPr>
        <w:t>Общественн</w:t>
      </w:r>
      <w:r w:rsidR="000B40A2" w:rsidRPr="006B1F5E">
        <w:rPr>
          <w:rFonts w:ascii="Times New Roman" w:hAnsi="Times New Roman" w:cs="Times New Roman"/>
          <w:sz w:val="28"/>
          <w:szCs w:val="28"/>
        </w:rPr>
        <w:t>ой</w:t>
      </w:r>
      <w:r w:rsidR="00F244A0" w:rsidRPr="006B1F5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B40A2" w:rsidRPr="006B1F5E">
        <w:rPr>
          <w:rFonts w:ascii="Times New Roman" w:hAnsi="Times New Roman" w:cs="Times New Roman"/>
          <w:sz w:val="28"/>
          <w:szCs w:val="28"/>
        </w:rPr>
        <w:t>ы</w:t>
      </w:r>
      <w:r w:rsidR="00F244A0" w:rsidRPr="006B1F5E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 w:rsidR="000B40A2" w:rsidRPr="006B1F5E">
        <w:rPr>
          <w:rFonts w:ascii="Times New Roman" w:hAnsi="Times New Roman" w:cs="Times New Roman"/>
          <w:sz w:val="28"/>
          <w:szCs w:val="28"/>
        </w:rPr>
        <w:t>учитывал</w:t>
      </w:r>
      <w:r w:rsidRPr="006B1F5E">
        <w:rPr>
          <w:rFonts w:ascii="Times New Roman" w:hAnsi="Times New Roman" w:cs="Times New Roman"/>
          <w:sz w:val="28"/>
          <w:szCs w:val="28"/>
        </w:rPr>
        <w:t xml:space="preserve"> необходимость реализации положений Послания Президента</w:t>
      </w:r>
      <w:r w:rsidRPr="00F244A0">
        <w:rPr>
          <w:rFonts w:ascii="Times New Roman" w:hAnsi="Times New Roman" w:cs="Times New Roman"/>
          <w:sz w:val="28"/>
          <w:szCs w:val="28"/>
        </w:rPr>
        <w:t xml:space="preserve"> Российской Федерации Федеральному Собранию Российской Федерации от </w:t>
      </w:r>
      <w:r w:rsidR="00C64B5C">
        <w:rPr>
          <w:rFonts w:ascii="Times New Roman" w:hAnsi="Times New Roman" w:cs="Times New Roman"/>
          <w:sz w:val="28"/>
          <w:szCs w:val="28"/>
        </w:rPr>
        <w:t>0</w:t>
      </w:r>
      <w:r w:rsidRPr="00F244A0">
        <w:rPr>
          <w:rFonts w:ascii="Times New Roman" w:hAnsi="Times New Roman" w:cs="Times New Roman"/>
          <w:sz w:val="28"/>
          <w:szCs w:val="28"/>
        </w:rPr>
        <w:t xml:space="preserve">4 декабря 2014 года (в части бюджетной политики), стратегических целей развития страны, сформулированных в </w:t>
      </w:r>
      <w:r w:rsidRPr="00BD6426">
        <w:rPr>
          <w:rFonts w:ascii="Times New Roman" w:hAnsi="Times New Roman" w:cs="Times New Roman"/>
          <w:sz w:val="28"/>
          <w:szCs w:val="28"/>
        </w:rPr>
        <w:t xml:space="preserve">указах Президента Российской Федерации от </w:t>
      </w:r>
      <w:r w:rsidR="00C64B5C">
        <w:rPr>
          <w:rFonts w:ascii="Times New Roman" w:hAnsi="Times New Roman" w:cs="Times New Roman"/>
          <w:sz w:val="28"/>
          <w:szCs w:val="28"/>
        </w:rPr>
        <w:t>0</w:t>
      </w:r>
      <w:r w:rsidRPr="00BD6426">
        <w:rPr>
          <w:rFonts w:ascii="Times New Roman" w:hAnsi="Times New Roman" w:cs="Times New Roman"/>
          <w:sz w:val="28"/>
          <w:szCs w:val="28"/>
        </w:rPr>
        <w:t xml:space="preserve">7 мая 2012 года, </w:t>
      </w:r>
      <w:r w:rsidR="00C64B5C">
        <w:rPr>
          <w:rFonts w:ascii="Times New Roman" w:hAnsi="Times New Roman" w:cs="Times New Roman"/>
          <w:sz w:val="28"/>
          <w:szCs w:val="28"/>
        </w:rPr>
        <w:t xml:space="preserve">и </w:t>
      </w:r>
      <w:r w:rsidRPr="00BD6426">
        <w:rPr>
          <w:rFonts w:ascii="Times New Roman" w:hAnsi="Times New Roman" w:cs="Times New Roman"/>
          <w:sz w:val="28"/>
          <w:szCs w:val="28"/>
        </w:rPr>
        <w:t>Концепции долгосрочного социально-экономического развития Российской Федерации</w:t>
      </w:r>
      <w:proofErr w:type="gramEnd"/>
      <w:r w:rsidRPr="00BD6426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  <w:r w:rsidR="00F244A0" w:rsidRPr="00BD6426">
        <w:rPr>
          <w:rFonts w:ascii="Times New Roman" w:hAnsi="Times New Roman" w:cs="Times New Roman"/>
          <w:sz w:val="28"/>
          <w:szCs w:val="28"/>
        </w:rPr>
        <w:t>.</w:t>
      </w:r>
    </w:p>
    <w:p w:rsidR="00BD6426" w:rsidRPr="00BD6426" w:rsidRDefault="00BD6426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426">
        <w:rPr>
          <w:rFonts w:ascii="Times New Roman" w:hAnsi="Times New Roman" w:cs="Times New Roman"/>
          <w:sz w:val="28"/>
          <w:szCs w:val="20"/>
        </w:rPr>
        <w:t xml:space="preserve">Рост валового регионального продукта запланирован меньшими темпами, чем он наблюдался в прошлые годы. </w:t>
      </w:r>
    </w:p>
    <w:p w:rsidR="005843AB" w:rsidRDefault="005843AB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426">
        <w:rPr>
          <w:rFonts w:ascii="Times New Roman" w:hAnsi="Times New Roman" w:cs="Times New Roman"/>
          <w:sz w:val="28"/>
          <w:szCs w:val="28"/>
        </w:rPr>
        <w:t>Вызывает обеспокоенность снижение бюджетных ассигнований на программы, преимущественно</w:t>
      </w:r>
      <w:r w:rsidRPr="005843AB">
        <w:rPr>
          <w:rFonts w:ascii="Times New Roman" w:hAnsi="Times New Roman" w:cs="Times New Roman"/>
          <w:sz w:val="28"/>
          <w:szCs w:val="28"/>
        </w:rPr>
        <w:t xml:space="preserve"> в социальной сфере (образование, спорт, здравоохранение). К примеру, по государственной программе «Развитие системы социальной защиты населения Амурской области на 2014</w:t>
      </w:r>
      <w:r w:rsidR="00C64B5C">
        <w:rPr>
          <w:rFonts w:ascii="Times New Roman" w:hAnsi="Times New Roman" w:cs="Times New Roman"/>
          <w:sz w:val="28"/>
          <w:szCs w:val="28"/>
        </w:rPr>
        <w:t>-</w:t>
      </w:r>
      <w:r w:rsidRPr="005843AB">
        <w:rPr>
          <w:rFonts w:ascii="Times New Roman" w:hAnsi="Times New Roman" w:cs="Times New Roman"/>
          <w:sz w:val="28"/>
          <w:szCs w:val="28"/>
        </w:rPr>
        <w:t xml:space="preserve">2020 годы» в 2016 году по сравнению с 2015 годом предусмотрено снижение на </w:t>
      </w:r>
      <w:r w:rsidRPr="008A2F58">
        <w:rPr>
          <w:rFonts w:ascii="Times New Roman" w:hAnsi="Times New Roman" w:cs="Times New Roman"/>
          <w:sz w:val="28"/>
          <w:szCs w:val="28"/>
        </w:rPr>
        <w:t>491,8 млн</w:t>
      </w:r>
      <w:r w:rsidR="00C64B5C">
        <w:rPr>
          <w:rFonts w:ascii="Times New Roman" w:hAnsi="Times New Roman" w:cs="Times New Roman"/>
          <w:sz w:val="28"/>
          <w:szCs w:val="28"/>
        </w:rPr>
        <w:t>.</w:t>
      </w:r>
      <w:r w:rsidRPr="008A2F58">
        <w:rPr>
          <w:rFonts w:ascii="Times New Roman" w:hAnsi="Times New Roman" w:cs="Times New Roman"/>
          <w:sz w:val="28"/>
          <w:szCs w:val="28"/>
        </w:rPr>
        <w:t xml:space="preserve"> рублей (на 9,2%).</w:t>
      </w:r>
    </w:p>
    <w:p w:rsidR="00692214" w:rsidRPr="008A2F58" w:rsidRDefault="00692214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бюджетных ассигнований на программы в социальной сфере увеличивают риск дальнейшего оттока трудоспособного населения (преимущественно молодёжи) из Амурской области и последующего снижения доходной части бюджета 2016 года, так как основная его часть – это налог на доходы физических лиц (11 108 млн</w:t>
      </w:r>
      <w:r w:rsidR="00C64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4C2386" w:rsidRPr="008A2F58" w:rsidRDefault="008A2F58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58">
        <w:rPr>
          <w:rFonts w:ascii="Times New Roman" w:hAnsi="Times New Roman" w:cs="Times New Roman"/>
          <w:sz w:val="28"/>
          <w:szCs w:val="20"/>
        </w:rPr>
        <w:t xml:space="preserve">Каждая программа - это проект со своими показателями и индикаторами. Изменение финансирования требует их пересмотра и нового утверждения. Без этого могут возникать факты нецелевого использования, снижения эффективности. </w:t>
      </w:r>
    </w:p>
    <w:p w:rsidR="0093779B" w:rsidRPr="007F73BF" w:rsidRDefault="004B4C7C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 примеру</w:t>
      </w:r>
      <w:r w:rsidR="0093779B" w:rsidRPr="00EC3046">
        <w:rPr>
          <w:rFonts w:ascii="Times New Roman" w:hAnsi="Times New Roman" w:cs="Times New Roman"/>
          <w:sz w:val="28"/>
          <w:szCs w:val="28"/>
        </w:rPr>
        <w:t>, в государственной программ</w:t>
      </w:r>
      <w:r w:rsidR="00EC3046" w:rsidRPr="00EC3046">
        <w:rPr>
          <w:rFonts w:ascii="Times New Roman" w:hAnsi="Times New Roman" w:cs="Times New Roman"/>
          <w:sz w:val="28"/>
          <w:szCs w:val="28"/>
        </w:rPr>
        <w:t>е</w:t>
      </w:r>
      <w:r w:rsidR="0093779B" w:rsidRPr="00EC3046">
        <w:rPr>
          <w:rFonts w:ascii="Times New Roman" w:hAnsi="Times New Roman" w:cs="Times New Roman"/>
          <w:sz w:val="28"/>
          <w:szCs w:val="28"/>
        </w:rPr>
        <w:t xml:space="preserve"> Амурской области «Модернизация жилищно-коммунального комплекса, энергосбережение и </w:t>
      </w:r>
      <w:r w:rsidR="0093779B" w:rsidRPr="007F73BF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Амурской области на 2014-2020</w:t>
      </w:r>
      <w:r w:rsidR="00C64B5C">
        <w:rPr>
          <w:rFonts w:ascii="Times New Roman" w:hAnsi="Times New Roman" w:cs="Times New Roman"/>
          <w:sz w:val="28"/>
          <w:szCs w:val="28"/>
        </w:rPr>
        <w:t xml:space="preserve"> </w:t>
      </w:r>
      <w:r w:rsidR="0093779B" w:rsidRPr="007F73BF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EC3046" w:rsidRPr="007F73BF">
        <w:rPr>
          <w:rFonts w:ascii="Times New Roman" w:hAnsi="Times New Roman" w:cs="Times New Roman"/>
          <w:sz w:val="28"/>
          <w:szCs w:val="28"/>
        </w:rPr>
        <w:t>по пункту «</w:t>
      </w:r>
      <w:r w:rsidR="0093779B" w:rsidRPr="007F73BF">
        <w:rPr>
          <w:rFonts w:ascii="Times New Roman" w:hAnsi="Times New Roman" w:cs="Times New Roman"/>
          <w:sz w:val="28"/>
          <w:szCs w:val="28"/>
        </w:rPr>
        <w:t>Обеспечение мероприятий по капитальному ремонту многоквартирных домов</w:t>
      </w:r>
      <w:r w:rsidR="00EC3046" w:rsidRPr="007F73BF">
        <w:rPr>
          <w:rFonts w:ascii="Times New Roman" w:hAnsi="Times New Roman" w:cs="Times New Roman"/>
          <w:sz w:val="28"/>
          <w:szCs w:val="28"/>
        </w:rPr>
        <w:t>» предусмотрен</w:t>
      </w:r>
      <w:r w:rsidR="00C64B5C">
        <w:rPr>
          <w:rFonts w:ascii="Times New Roman" w:hAnsi="Times New Roman" w:cs="Times New Roman"/>
          <w:sz w:val="28"/>
          <w:szCs w:val="28"/>
        </w:rPr>
        <w:t>о</w:t>
      </w:r>
      <w:r w:rsidR="00EC3046" w:rsidRPr="007F73BF">
        <w:rPr>
          <w:rFonts w:ascii="Times New Roman" w:hAnsi="Times New Roman" w:cs="Times New Roman"/>
          <w:sz w:val="28"/>
          <w:szCs w:val="28"/>
        </w:rPr>
        <w:t xml:space="preserve"> снижение с </w:t>
      </w:r>
      <w:r w:rsidR="0093779B" w:rsidRPr="007F73BF">
        <w:rPr>
          <w:rFonts w:ascii="Times New Roman" w:hAnsi="Times New Roman" w:cs="Times New Roman"/>
          <w:sz w:val="28"/>
          <w:szCs w:val="28"/>
        </w:rPr>
        <w:t>46,3</w:t>
      </w:r>
      <w:r w:rsidR="00C64B5C">
        <w:rPr>
          <w:rFonts w:ascii="Times New Roman" w:hAnsi="Times New Roman" w:cs="Times New Roman"/>
          <w:sz w:val="28"/>
          <w:szCs w:val="28"/>
        </w:rPr>
        <w:t xml:space="preserve"> </w:t>
      </w:r>
      <w:r w:rsidR="00EC3046" w:rsidRPr="007F73BF">
        <w:rPr>
          <w:rFonts w:ascii="Times New Roman" w:hAnsi="Times New Roman" w:cs="Times New Roman"/>
          <w:sz w:val="28"/>
          <w:szCs w:val="28"/>
        </w:rPr>
        <w:t>млн</w:t>
      </w:r>
      <w:r w:rsidR="00C64B5C">
        <w:rPr>
          <w:rFonts w:ascii="Times New Roman" w:hAnsi="Times New Roman" w:cs="Times New Roman"/>
          <w:sz w:val="28"/>
          <w:szCs w:val="28"/>
        </w:rPr>
        <w:t>.</w:t>
      </w:r>
      <w:r w:rsidR="00EC3046" w:rsidRPr="007F73BF">
        <w:rPr>
          <w:rFonts w:ascii="Times New Roman" w:hAnsi="Times New Roman" w:cs="Times New Roman"/>
          <w:sz w:val="28"/>
          <w:szCs w:val="28"/>
        </w:rPr>
        <w:t xml:space="preserve"> (2015 года) до</w:t>
      </w:r>
      <w:r w:rsidR="0093779B" w:rsidRPr="007F73BF">
        <w:rPr>
          <w:rFonts w:ascii="Times New Roman" w:hAnsi="Times New Roman" w:cs="Times New Roman"/>
          <w:sz w:val="28"/>
          <w:szCs w:val="28"/>
        </w:rPr>
        <w:t xml:space="preserve"> 14,1</w:t>
      </w:r>
      <w:r w:rsidR="00EC3046" w:rsidRPr="007F73BF">
        <w:rPr>
          <w:rFonts w:ascii="Times New Roman" w:hAnsi="Times New Roman" w:cs="Times New Roman"/>
          <w:sz w:val="28"/>
          <w:szCs w:val="28"/>
        </w:rPr>
        <w:t xml:space="preserve"> (2016 год)</w:t>
      </w:r>
      <w:r w:rsidR="0093779B" w:rsidRPr="007F73BF">
        <w:rPr>
          <w:rFonts w:ascii="Times New Roman" w:hAnsi="Times New Roman" w:cs="Times New Roman"/>
          <w:sz w:val="28"/>
          <w:szCs w:val="28"/>
        </w:rPr>
        <w:t xml:space="preserve">, </w:t>
      </w:r>
      <w:r w:rsidR="00EC3046" w:rsidRPr="007F73BF">
        <w:rPr>
          <w:rFonts w:ascii="Times New Roman" w:hAnsi="Times New Roman" w:cs="Times New Roman"/>
          <w:sz w:val="28"/>
          <w:szCs w:val="28"/>
        </w:rPr>
        <w:t>однако по</w:t>
      </w:r>
      <w:r w:rsidR="0093779B" w:rsidRPr="007F73B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C3046" w:rsidRPr="007F73BF">
        <w:rPr>
          <w:rFonts w:ascii="Times New Roman" w:hAnsi="Times New Roman" w:cs="Times New Roman"/>
          <w:sz w:val="28"/>
          <w:szCs w:val="28"/>
        </w:rPr>
        <w:t>е</w:t>
      </w:r>
      <w:r w:rsidR="0093779B" w:rsidRPr="007F73B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EC3046" w:rsidRPr="007F73BF">
        <w:rPr>
          <w:rFonts w:ascii="Times New Roman" w:hAnsi="Times New Roman" w:cs="Times New Roman"/>
          <w:sz w:val="28"/>
          <w:szCs w:val="28"/>
        </w:rPr>
        <w:t xml:space="preserve">«Другие мероприятия </w:t>
      </w:r>
      <w:r w:rsidR="0093779B" w:rsidRPr="007F73BF">
        <w:rPr>
          <w:rFonts w:ascii="Times New Roman" w:hAnsi="Times New Roman" w:cs="Times New Roman"/>
          <w:sz w:val="28"/>
          <w:szCs w:val="28"/>
        </w:rPr>
        <w:t>программы</w:t>
      </w:r>
      <w:r w:rsidR="00EC3046" w:rsidRPr="007F73BF">
        <w:rPr>
          <w:rFonts w:ascii="Times New Roman" w:hAnsi="Times New Roman" w:cs="Times New Roman"/>
          <w:sz w:val="28"/>
          <w:szCs w:val="28"/>
        </w:rPr>
        <w:t>»</w:t>
      </w:r>
      <w:r w:rsidR="00C64B5C">
        <w:rPr>
          <w:rFonts w:ascii="Times New Roman" w:hAnsi="Times New Roman" w:cs="Times New Roman"/>
          <w:sz w:val="28"/>
          <w:szCs w:val="28"/>
        </w:rPr>
        <w:t xml:space="preserve"> </w:t>
      </w:r>
      <w:r w:rsidR="00EC3046" w:rsidRPr="007F73BF">
        <w:rPr>
          <w:rFonts w:ascii="Times New Roman" w:hAnsi="Times New Roman" w:cs="Times New Roman"/>
          <w:sz w:val="28"/>
          <w:szCs w:val="28"/>
        </w:rPr>
        <w:t>снижение составляет лишь с 54,3 (2015) до 52 (2016).</w:t>
      </w:r>
      <w:proofErr w:type="gramEnd"/>
    </w:p>
    <w:p w:rsidR="007F73BF" w:rsidRDefault="00DC0DA8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7F73BF" w:rsidRPr="007F73BF">
        <w:rPr>
          <w:rFonts w:ascii="Times New Roman" w:hAnsi="Times New Roman" w:cs="Times New Roman"/>
          <w:sz w:val="28"/>
          <w:szCs w:val="28"/>
        </w:rPr>
        <w:t>, по государственной программе «Повышение эффективности деятельности органов государственной власти и управления Амурской области на 2014</w:t>
      </w:r>
      <w:r w:rsidR="00C64B5C">
        <w:rPr>
          <w:rFonts w:ascii="Times New Roman" w:hAnsi="Times New Roman" w:cs="Times New Roman"/>
          <w:sz w:val="28"/>
          <w:szCs w:val="28"/>
        </w:rPr>
        <w:t>-</w:t>
      </w:r>
      <w:r w:rsidR="007F73BF" w:rsidRPr="007F73BF">
        <w:rPr>
          <w:rFonts w:ascii="Times New Roman" w:hAnsi="Times New Roman" w:cs="Times New Roman"/>
          <w:sz w:val="28"/>
          <w:szCs w:val="28"/>
        </w:rPr>
        <w:t>2020 годы» ид</w:t>
      </w:r>
      <w:r w:rsidR="00C64B5C">
        <w:rPr>
          <w:rFonts w:ascii="Times New Roman" w:hAnsi="Times New Roman" w:cs="Times New Roman"/>
          <w:sz w:val="28"/>
          <w:szCs w:val="28"/>
        </w:rPr>
        <w:t>е</w:t>
      </w:r>
      <w:r w:rsidR="007F73BF" w:rsidRPr="007F73BF">
        <w:rPr>
          <w:rFonts w:ascii="Times New Roman" w:hAnsi="Times New Roman" w:cs="Times New Roman"/>
          <w:sz w:val="28"/>
          <w:szCs w:val="28"/>
        </w:rPr>
        <w:t>т увеличение бюджетных ассигнований с</w:t>
      </w:r>
      <w:r w:rsidR="00C64B5C">
        <w:rPr>
          <w:rFonts w:ascii="Times New Roman" w:hAnsi="Times New Roman" w:cs="Times New Roman"/>
          <w:sz w:val="28"/>
          <w:szCs w:val="28"/>
        </w:rPr>
        <w:t xml:space="preserve">     </w:t>
      </w:r>
      <w:r w:rsidR="007F73BF" w:rsidRPr="007F73BF">
        <w:rPr>
          <w:rFonts w:ascii="Times New Roman" w:hAnsi="Times New Roman" w:cs="Times New Roman"/>
          <w:sz w:val="28"/>
          <w:szCs w:val="28"/>
        </w:rPr>
        <w:t xml:space="preserve"> 6 640,9 млн</w:t>
      </w:r>
      <w:r w:rsidR="00C64B5C">
        <w:rPr>
          <w:rFonts w:ascii="Times New Roman" w:hAnsi="Times New Roman" w:cs="Times New Roman"/>
          <w:sz w:val="28"/>
          <w:szCs w:val="28"/>
        </w:rPr>
        <w:t>.</w:t>
      </w:r>
      <w:r w:rsidR="007F73BF" w:rsidRPr="007F73BF">
        <w:rPr>
          <w:rFonts w:ascii="Times New Roman" w:hAnsi="Times New Roman" w:cs="Times New Roman"/>
          <w:sz w:val="28"/>
          <w:szCs w:val="28"/>
        </w:rPr>
        <w:t xml:space="preserve"> рублей в 2015 году до 7 535,4 млн</w:t>
      </w:r>
      <w:r w:rsidR="00C64B5C">
        <w:rPr>
          <w:rFonts w:ascii="Times New Roman" w:hAnsi="Times New Roman" w:cs="Times New Roman"/>
          <w:sz w:val="28"/>
          <w:szCs w:val="28"/>
        </w:rPr>
        <w:t>.</w:t>
      </w:r>
      <w:r w:rsidR="007F73BF" w:rsidRPr="007F73BF">
        <w:rPr>
          <w:rFonts w:ascii="Times New Roman" w:hAnsi="Times New Roman" w:cs="Times New Roman"/>
          <w:sz w:val="28"/>
          <w:szCs w:val="28"/>
        </w:rPr>
        <w:t xml:space="preserve"> рублей в 2016 году.</w:t>
      </w:r>
    </w:p>
    <w:p w:rsidR="00C64B5C" w:rsidRDefault="00982FD6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Считаем, что и</w:t>
      </w:r>
      <w:r w:rsidRPr="008A2F58">
        <w:rPr>
          <w:rFonts w:ascii="Times New Roman" w:hAnsi="Times New Roman" w:cs="Times New Roman"/>
          <w:sz w:val="28"/>
          <w:szCs w:val="20"/>
        </w:rPr>
        <w:t>зменение финансирования</w:t>
      </w:r>
      <w:r>
        <w:rPr>
          <w:rFonts w:ascii="Times New Roman" w:hAnsi="Times New Roman" w:cs="Times New Roman"/>
          <w:sz w:val="28"/>
          <w:szCs w:val="20"/>
        </w:rPr>
        <w:t>, особенно при существенном увеличении (в вышеуказанной программе – на 894,5 млн</w:t>
      </w:r>
      <w:r w:rsidR="00C64B5C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 xml:space="preserve"> рублей или 13,5%)</w:t>
      </w:r>
      <w:r w:rsidRPr="008A2F58">
        <w:rPr>
          <w:rFonts w:ascii="Times New Roman" w:hAnsi="Times New Roman" w:cs="Times New Roman"/>
          <w:sz w:val="28"/>
          <w:szCs w:val="20"/>
        </w:rPr>
        <w:t xml:space="preserve"> требует их пересмотра и нового утверждения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5B7A9E" w:rsidRPr="009E7E2F" w:rsidRDefault="005B7A9E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Вызывают настороженность неудовлетворительные темпы роста налоговых сборов с предприятий, занимающихся добычей полезных ископаемых и освоением природных ресурсов. </w:t>
      </w:r>
    </w:p>
    <w:p w:rsidR="009E7E2F" w:rsidRPr="000B4ED9" w:rsidRDefault="009E7E2F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E2F">
        <w:rPr>
          <w:rFonts w:ascii="Times New Roman" w:hAnsi="Times New Roman" w:cs="Times New Roman"/>
          <w:sz w:val="28"/>
          <w:szCs w:val="28"/>
        </w:rPr>
        <w:t>Существуют определенные риски превышения в 2016</w:t>
      </w:r>
      <w:r w:rsidR="00C64B5C">
        <w:rPr>
          <w:rFonts w:ascii="Times New Roman" w:hAnsi="Times New Roman" w:cs="Times New Roman"/>
          <w:sz w:val="28"/>
          <w:szCs w:val="28"/>
        </w:rPr>
        <w:t xml:space="preserve"> </w:t>
      </w:r>
      <w:r w:rsidRPr="009E7E2F">
        <w:rPr>
          <w:rFonts w:ascii="Times New Roman" w:hAnsi="Times New Roman" w:cs="Times New Roman"/>
          <w:sz w:val="28"/>
          <w:szCs w:val="28"/>
        </w:rPr>
        <w:t>год</w:t>
      </w:r>
      <w:r w:rsidR="005843AB">
        <w:rPr>
          <w:rFonts w:ascii="Times New Roman" w:hAnsi="Times New Roman" w:cs="Times New Roman"/>
          <w:sz w:val="28"/>
          <w:szCs w:val="28"/>
        </w:rPr>
        <w:t>у</w:t>
      </w:r>
      <w:r w:rsidRPr="009E7E2F">
        <w:rPr>
          <w:rFonts w:ascii="Times New Roman" w:hAnsi="Times New Roman" w:cs="Times New Roman"/>
          <w:sz w:val="28"/>
          <w:szCs w:val="28"/>
        </w:rPr>
        <w:t xml:space="preserve"> ожидаемой </w:t>
      </w:r>
      <w:r w:rsidRPr="000B4ED9">
        <w:rPr>
          <w:rFonts w:ascii="Times New Roman" w:hAnsi="Times New Roman" w:cs="Times New Roman"/>
          <w:sz w:val="28"/>
          <w:szCs w:val="28"/>
        </w:rPr>
        <w:t>оценки уровня инфляции, представленной в прогнозе.</w:t>
      </w:r>
    </w:p>
    <w:p w:rsidR="00373671" w:rsidRDefault="000B4ED9" w:rsidP="00112B8E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0B4ED9">
        <w:rPr>
          <w:sz w:val="28"/>
          <w:szCs w:val="28"/>
        </w:rPr>
        <w:t xml:space="preserve">Таким образом, рассмотрев </w:t>
      </w:r>
      <w:r w:rsidR="000E453E">
        <w:rPr>
          <w:sz w:val="28"/>
          <w:szCs w:val="20"/>
        </w:rPr>
        <w:t>проект</w:t>
      </w:r>
      <w:r w:rsidRPr="000B4ED9">
        <w:rPr>
          <w:sz w:val="28"/>
          <w:szCs w:val="20"/>
        </w:rPr>
        <w:t xml:space="preserve"> закона Амурской области «Об областном бюджете на 2016 год»</w:t>
      </w:r>
      <w:r w:rsidRPr="000B4ED9">
        <w:rPr>
          <w:sz w:val="28"/>
          <w:szCs w:val="28"/>
        </w:rPr>
        <w:t xml:space="preserve">, эксперты Общественной палаты Амурской области пришли к следующему: </w:t>
      </w:r>
    </w:p>
    <w:p w:rsidR="00F662EA" w:rsidRDefault="000B4ED9" w:rsidP="00112B8E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0B4ED9">
        <w:rPr>
          <w:sz w:val="28"/>
          <w:szCs w:val="28"/>
        </w:rPr>
        <w:t xml:space="preserve">1. </w:t>
      </w:r>
      <w:r w:rsidR="00F662EA">
        <w:rPr>
          <w:sz w:val="28"/>
          <w:szCs w:val="28"/>
        </w:rPr>
        <w:t>Подход, согласно которому при планировании</w:t>
      </w:r>
      <w:r w:rsidR="00F662EA" w:rsidRPr="00DB56DB">
        <w:rPr>
          <w:sz w:val="28"/>
          <w:szCs w:val="28"/>
        </w:rPr>
        <w:t xml:space="preserve"> бюджета </w:t>
      </w:r>
      <w:r w:rsidR="00F662EA">
        <w:rPr>
          <w:sz w:val="28"/>
          <w:szCs w:val="28"/>
        </w:rPr>
        <w:t>ссылаются на</w:t>
      </w:r>
      <w:r w:rsidR="00F662EA" w:rsidRPr="00DB56DB">
        <w:rPr>
          <w:sz w:val="28"/>
          <w:szCs w:val="28"/>
        </w:rPr>
        <w:t xml:space="preserve"> прогноз социально-экономического развития</w:t>
      </w:r>
      <w:r w:rsidR="00F662EA">
        <w:rPr>
          <w:sz w:val="28"/>
          <w:szCs w:val="28"/>
        </w:rPr>
        <w:t xml:space="preserve"> Амурской области</w:t>
      </w:r>
      <w:r w:rsidR="00C64B5C">
        <w:rPr>
          <w:sz w:val="28"/>
          <w:szCs w:val="28"/>
        </w:rPr>
        <w:t xml:space="preserve"> </w:t>
      </w:r>
      <w:r w:rsidR="00F662EA">
        <w:rPr>
          <w:sz w:val="28"/>
          <w:szCs w:val="28"/>
        </w:rPr>
        <w:t>как предыдущих, так и плановых периодов</w:t>
      </w:r>
      <w:r w:rsidR="00F662EA" w:rsidRPr="00DB56DB">
        <w:rPr>
          <w:sz w:val="28"/>
          <w:szCs w:val="28"/>
        </w:rPr>
        <w:t xml:space="preserve">, </w:t>
      </w:r>
      <w:r w:rsidR="00F662EA">
        <w:rPr>
          <w:sz w:val="28"/>
          <w:szCs w:val="28"/>
        </w:rPr>
        <w:t xml:space="preserve">не отражает новых </w:t>
      </w:r>
      <w:proofErr w:type="gramStart"/>
      <w:r w:rsidR="00F662EA">
        <w:rPr>
          <w:sz w:val="28"/>
          <w:szCs w:val="28"/>
        </w:rPr>
        <w:t xml:space="preserve">экономических </w:t>
      </w:r>
      <w:r w:rsidR="00127484">
        <w:rPr>
          <w:sz w:val="28"/>
          <w:szCs w:val="28"/>
        </w:rPr>
        <w:t xml:space="preserve">стагнационных </w:t>
      </w:r>
      <w:r w:rsidR="00F662EA">
        <w:rPr>
          <w:sz w:val="28"/>
          <w:szCs w:val="28"/>
        </w:rPr>
        <w:t>процессов</w:t>
      </w:r>
      <w:proofErr w:type="gramEnd"/>
      <w:r w:rsidR="000E453E">
        <w:rPr>
          <w:sz w:val="28"/>
          <w:szCs w:val="28"/>
        </w:rPr>
        <w:t>,</w:t>
      </w:r>
      <w:r w:rsidR="00F662EA">
        <w:rPr>
          <w:sz w:val="28"/>
          <w:szCs w:val="28"/>
        </w:rPr>
        <w:t xml:space="preserve"> происходящих в России.</w:t>
      </w:r>
    </w:p>
    <w:p w:rsidR="000407A3" w:rsidRDefault="000B4ED9" w:rsidP="00112B8E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0B4ED9">
        <w:rPr>
          <w:sz w:val="28"/>
          <w:szCs w:val="28"/>
        </w:rPr>
        <w:t xml:space="preserve">2. </w:t>
      </w:r>
      <w:r w:rsidR="000407A3">
        <w:rPr>
          <w:sz w:val="28"/>
          <w:szCs w:val="28"/>
        </w:rPr>
        <w:t xml:space="preserve">Есть риск не </w:t>
      </w:r>
      <w:r w:rsidR="000407A3" w:rsidRPr="000B4ED9">
        <w:rPr>
          <w:sz w:val="28"/>
          <w:szCs w:val="28"/>
        </w:rPr>
        <w:t>обеспечен</w:t>
      </w:r>
      <w:r w:rsidR="000407A3">
        <w:rPr>
          <w:sz w:val="28"/>
          <w:szCs w:val="28"/>
        </w:rPr>
        <w:t>ия</w:t>
      </w:r>
      <w:r w:rsidR="00C64B5C">
        <w:rPr>
          <w:sz w:val="28"/>
          <w:szCs w:val="28"/>
        </w:rPr>
        <w:t xml:space="preserve"> </w:t>
      </w:r>
      <w:r w:rsidR="000407A3">
        <w:rPr>
          <w:sz w:val="28"/>
          <w:szCs w:val="28"/>
        </w:rPr>
        <w:t>з</w:t>
      </w:r>
      <w:r w:rsidRPr="000B4ED9">
        <w:rPr>
          <w:sz w:val="28"/>
          <w:szCs w:val="28"/>
        </w:rPr>
        <w:t>аложенны</w:t>
      </w:r>
      <w:r w:rsidR="000407A3">
        <w:rPr>
          <w:sz w:val="28"/>
          <w:szCs w:val="28"/>
        </w:rPr>
        <w:t>х расходов</w:t>
      </w:r>
      <w:r w:rsidRPr="000B4ED9">
        <w:rPr>
          <w:sz w:val="28"/>
          <w:szCs w:val="28"/>
        </w:rPr>
        <w:t xml:space="preserve"> в бюджете на </w:t>
      </w:r>
      <w:r w:rsidR="000407A3">
        <w:rPr>
          <w:sz w:val="28"/>
          <w:szCs w:val="28"/>
        </w:rPr>
        <w:t>2016</w:t>
      </w:r>
      <w:r w:rsidRPr="000B4ED9">
        <w:rPr>
          <w:sz w:val="28"/>
          <w:szCs w:val="28"/>
        </w:rPr>
        <w:t xml:space="preserve"> год в полной мере. </w:t>
      </w:r>
    </w:p>
    <w:p w:rsidR="000407A3" w:rsidRDefault="000B4ED9" w:rsidP="00112B8E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0B4ED9">
        <w:rPr>
          <w:sz w:val="28"/>
          <w:szCs w:val="28"/>
        </w:rPr>
        <w:t xml:space="preserve">3. </w:t>
      </w:r>
      <w:r w:rsidR="00C64B5C">
        <w:rPr>
          <w:sz w:val="28"/>
          <w:szCs w:val="28"/>
        </w:rPr>
        <w:t>Считаем целесообразным</w:t>
      </w:r>
      <w:r w:rsidR="00127484">
        <w:rPr>
          <w:sz w:val="28"/>
          <w:szCs w:val="28"/>
        </w:rPr>
        <w:t xml:space="preserve"> п</w:t>
      </w:r>
      <w:r w:rsidRPr="000B4ED9">
        <w:rPr>
          <w:sz w:val="28"/>
          <w:szCs w:val="28"/>
        </w:rPr>
        <w:t>редусмотреть в бюджет</w:t>
      </w:r>
      <w:r w:rsidR="00127484">
        <w:rPr>
          <w:sz w:val="28"/>
          <w:szCs w:val="28"/>
        </w:rPr>
        <w:t>е</w:t>
      </w:r>
      <w:r w:rsidR="00C64B5C">
        <w:rPr>
          <w:sz w:val="28"/>
          <w:szCs w:val="28"/>
        </w:rPr>
        <w:t xml:space="preserve"> </w:t>
      </w:r>
      <w:r w:rsidR="000407A3">
        <w:rPr>
          <w:sz w:val="28"/>
          <w:szCs w:val="28"/>
        </w:rPr>
        <w:t>2016</w:t>
      </w:r>
      <w:r w:rsidRPr="000B4ED9">
        <w:rPr>
          <w:sz w:val="28"/>
          <w:szCs w:val="28"/>
        </w:rPr>
        <w:t xml:space="preserve"> год</w:t>
      </w:r>
      <w:r w:rsidR="00127484">
        <w:rPr>
          <w:sz w:val="28"/>
          <w:szCs w:val="28"/>
        </w:rPr>
        <w:t>а</w:t>
      </w:r>
      <w:r w:rsidRPr="000B4ED9">
        <w:rPr>
          <w:sz w:val="28"/>
          <w:szCs w:val="28"/>
        </w:rPr>
        <w:t xml:space="preserve"> плановые средства на долгосрочные целевые программы </w:t>
      </w:r>
      <w:r w:rsidR="00127484">
        <w:rPr>
          <w:sz w:val="28"/>
          <w:szCs w:val="28"/>
        </w:rPr>
        <w:t xml:space="preserve">в социальной сфере </w:t>
      </w:r>
      <w:r w:rsidRPr="000B4ED9">
        <w:rPr>
          <w:sz w:val="28"/>
          <w:szCs w:val="28"/>
        </w:rPr>
        <w:t>в объеме не ниже уровня 201</w:t>
      </w:r>
      <w:r w:rsidR="000407A3">
        <w:rPr>
          <w:sz w:val="28"/>
          <w:szCs w:val="28"/>
        </w:rPr>
        <w:t>5</w:t>
      </w:r>
      <w:r w:rsidRPr="000B4ED9">
        <w:rPr>
          <w:sz w:val="28"/>
          <w:szCs w:val="28"/>
        </w:rPr>
        <w:t xml:space="preserve"> год</w:t>
      </w:r>
      <w:r w:rsidR="000407A3">
        <w:rPr>
          <w:sz w:val="28"/>
          <w:szCs w:val="28"/>
        </w:rPr>
        <w:t>а</w:t>
      </w:r>
      <w:r w:rsidRPr="000B4ED9">
        <w:rPr>
          <w:sz w:val="28"/>
          <w:szCs w:val="28"/>
        </w:rPr>
        <w:t xml:space="preserve">. Это позволит сохранить социальную направленность бюджета. </w:t>
      </w:r>
    </w:p>
    <w:p w:rsidR="000B4ED9" w:rsidRPr="000B4ED9" w:rsidRDefault="000B4ED9" w:rsidP="00112B8E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0B4ED9">
        <w:rPr>
          <w:sz w:val="28"/>
          <w:szCs w:val="28"/>
        </w:rPr>
        <w:t>Указанные замечания не являются препятствием для рассмотрения бюджета в первом чтении, но должны быть учтены при подготовке его к рассмотрению во втором чтении.</w:t>
      </w:r>
    </w:p>
    <w:p w:rsidR="00DE2C3F" w:rsidRDefault="00DE2C3F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D53B5" w:rsidRPr="00DE2C3F" w:rsidRDefault="00FD53B5" w:rsidP="00112B8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4"/>
        </w:rPr>
      </w:pPr>
      <w:r w:rsidRPr="00DE2C3F">
        <w:rPr>
          <w:rFonts w:ascii="Times New Roman" w:hAnsi="Times New Roman" w:cs="Times New Roman"/>
          <w:sz w:val="28"/>
          <w:szCs w:val="24"/>
        </w:rPr>
        <w:t>Приложение: рекомендации к публичным слушаниям по проекту областного бюджета на 2016 год на 6 л</w:t>
      </w:r>
      <w:r w:rsidR="00DE2C3F">
        <w:rPr>
          <w:rFonts w:ascii="Times New Roman" w:hAnsi="Times New Roman" w:cs="Times New Roman"/>
          <w:sz w:val="28"/>
          <w:szCs w:val="24"/>
        </w:rPr>
        <w:t>. в 1 экз.</w:t>
      </w:r>
    </w:p>
    <w:bookmarkEnd w:id="0"/>
    <w:p w:rsidR="00FD53B5" w:rsidRDefault="00FD53B5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C3F" w:rsidRDefault="00DE2C3F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3A0" w:rsidRDefault="006963A0" w:rsidP="0011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3A0" w:rsidRDefault="003B425B" w:rsidP="0011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Экспертного с</w:t>
      </w:r>
      <w:r w:rsidR="006963A0">
        <w:rPr>
          <w:rFonts w:ascii="Times New Roman" w:hAnsi="Times New Roman" w:cs="Times New Roman"/>
          <w:sz w:val="28"/>
          <w:szCs w:val="28"/>
        </w:rPr>
        <w:t>овета</w:t>
      </w:r>
      <w:r w:rsidR="006963A0">
        <w:rPr>
          <w:rFonts w:ascii="Times New Roman" w:hAnsi="Times New Roman" w:cs="Times New Roman"/>
          <w:sz w:val="28"/>
          <w:szCs w:val="28"/>
        </w:rPr>
        <w:tab/>
      </w:r>
      <w:r w:rsidR="006963A0">
        <w:rPr>
          <w:rFonts w:ascii="Times New Roman" w:hAnsi="Times New Roman" w:cs="Times New Roman"/>
          <w:sz w:val="28"/>
          <w:szCs w:val="28"/>
        </w:rPr>
        <w:tab/>
      </w:r>
      <w:r w:rsidR="00DE2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2C3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E2C3F">
        <w:rPr>
          <w:rFonts w:ascii="Times New Roman" w:hAnsi="Times New Roman" w:cs="Times New Roman"/>
          <w:sz w:val="28"/>
          <w:szCs w:val="28"/>
        </w:rPr>
        <w:t>В.Ф.</w:t>
      </w:r>
      <w:r w:rsidR="006963A0">
        <w:rPr>
          <w:rFonts w:ascii="Times New Roman" w:hAnsi="Times New Roman" w:cs="Times New Roman"/>
          <w:sz w:val="28"/>
          <w:szCs w:val="28"/>
        </w:rPr>
        <w:t>Утоплов</w:t>
      </w:r>
      <w:proofErr w:type="spellEnd"/>
      <w:r w:rsidR="0069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70" w:rsidRDefault="00651D70" w:rsidP="0011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70" w:rsidRDefault="00651D70" w:rsidP="0011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70" w:rsidRPr="00651D70" w:rsidRDefault="00651D70" w:rsidP="0065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D70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</w:p>
    <w:p w:rsidR="00651D70" w:rsidRPr="00651D70" w:rsidRDefault="00651D70" w:rsidP="00651D70">
      <w:pPr>
        <w:pStyle w:val="a8"/>
        <w:jc w:val="center"/>
        <w:rPr>
          <w:sz w:val="28"/>
          <w:szCs w:val="28"/>
        </w:rPr>
      </w:pPr>
      <w:r w:rsidRPr="00651D70">
        <w:rPr>
          <w:sz w:val="28"/>
          <w:szCs w:val="28"/>
        </w:rPr>
        <w:t>к публичным слушаниям по проекту областного бюджета на 2016 год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Необходимо отметить, что проект бюджета Амурской области не отражает сложных стагнационных процессов, происходящих в России в 2015 году, которые окажут негативное влияние на показатели развития и результативности всех отраслей экономической </w:t>
      </w:r>
      <w:proofErr w:type="gramStart"/>
      <w:r w:rsidRPr="00651D70">
        <w:rPr>
          <w:sz w:val="28"/>
          <w:szCs w:val="28"/>
        </w:rPr>
        <w:t>деятельности</w:t>
      </w:r>
      <w:proofErr w:type="gramEnd"/>
      <w:r w:rsidRPr="00651D70">
        <w:rPr>
          <w:sz w:val="28"/>
          <w:szCs w:val="28"/>
        </w:rPr>
        <w:t xml:space="preserve"> на фоне протекающих структурных изменениях в экономике РФ.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Работники исполнительных органов власти при планировании бюджета ссылаются на прогноз социально-экономического развития области как предыдущих, так и плановых периодов, но на самом деле такой подход не отражает новых </w:t>
      </w:r>
      <w:proofErr w:type="gramStart"/>
      <w:r w:rsidRPr="00651D70">
        <w:rPr>
          <w:sz w:val="28"/>
          <w:szCs w:val="28"/>
        </w:rPr>
        <w:t>экономических процессов</w:t>
      </w:r>
      <w:proofErr w:type="gramEnd"/>
      <w:r w:rsidRPr="00651D70">
        <w:rPr>
          <w:sz w:val="28"/>
          <w:szCs w:val="28"/>
        </w:rPr>
        <w:t xml:space="preserve"> происходящих в России. 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Чтобы оценить правильность планирования бюджета и оценить его влияние на развитие социально-экономической жизни Амурской области необходимо посмотреть на состояние экономики и реализацию бюджета в новых условиях, то есть исполненный бюджет 2014 года (переход на государственные программы) и утвержденный бюджет в 2015 году.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Хотя рост налоговых доходов областного бюджета продолжается из года в год, но темпы роста слегка выше темпов инфляции. Вероятно, что темпы инфляции в 2015 году резко снизят налоговые доходы. 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Основу экономики Амурской области в 2015 году составили такие отрасли как промышленность, строительство, сельское хозяйство, транспорт и торговля. Доля транспорта в составе ВРП выросла с 21,6% в 2013 году до 23% в 2014 году. Поскольку в транспортной отрасли на территории области реализуются в основном федеральные проекты, то это является для нас плюсом с точки зрения поступлений в бюджет. 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По стоимости отгруженной (то есть, произведенной) продукции на первом месте в промышленном производстве у нас стоит добыча полезных ископаемых (48,4%), на втором обрабатывающая промышленность (26,2%) и на третьем производство электроэнергии и тепла (25,4%).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Таким образом, несмотря на то, что в лидерах в промышленности у нас числится обрабатывающая промышленность, но доля в ВРП у нее всего 4%. Это значит, что, несмотря на интенсивную работу, производительность труда в этой отрасли все еще низкая. Ниже, чем в сельском хозяйстве. В Амурской области срочно необходимо вводить новую промышленную политику, направленную на повышение производительности затрат, эффективности производства и создание дополнительных рабочих мест без снижения этих показателей.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Но в целом в Амурской области планируется строительство крупных производств – </w:t>
      </w:r>
      <w:proofErr w:type="spellStart"/>
      <w:r w:rsidRPr="00651D70">
        <w:rPr>
          <w:sz w:val="28"/>
          <w:szCs w:val="28"/>
        </w:rPr>
        <w:t>нефте-газохимическое</w:t>
      </w:r>
      <w:proofErr w:type="spellEnd"/>
      <w:r w:rsidRPr="00651D70">
        <w:rPr>
          <w:sz w:val="28"/>
          <w:szCs w:val="28"/>
        </w:rPr>
        <w:t xml:space="preserve"> производство, переработка сои, космодром «Восточный» и др. «Локомотивом» развития экономики может быть глубокая переработка, которая создает добавленную стоимость и соответственно пополнение бюджета за счет налоговых поступлений, а также рабочие места. Поэтому экономическая политика области должна быть </w:t>
      </w:r>
      <w:r w:rsidRPr="00651D70">
        <w:rPr>
          <w:sz w:val="28"/>
          <w:szCs w:val="28"/>
        </w:rPr>
        <w:lastRenderedPageBreak/>
        <w:t>направлена на создание инфраструктуры и развитие среднего и малого бизнеса вокруг «локомотивов». Таким образом, бюджет области должен отражать такие процессы.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Областной бюджет на 2016 год сформирован на макроэкономических показателях, которые требуют оценки. Согласно прогнозу индекс потребительских цен в 2016 году составит 6,6%, когда в предыдущие годы он был выше 10%. Таким образом, непонятен механизм расчета данного индекса, так как в сложных экономических условиях следует ожидать на уровне выше 10%.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В условиях формирования доходной части бюджета, где основные источники пополнения бюджета являются налог на прибыль организаций и налог на доходы физических лиц индекс потребительских цен играет немаловажную роль. Получается, что при планировании бюджета плановые показатели налоговых доходов завышены и инде</w:t>
      </w:r>
      <w:proofErr w:type="gramStart"/>
      <w:r w:rsidRPr="00651D70">
        <w:rPr>
          <w:sz w:val="28"/>
          <w:szCs w:val="28"/>
        </w:rPr>
        <w:t>кс спл</w:t>
      </w:r>
      <w:proofErr w:type="gramEnd"/>
      <w:r w:rsidRPr="00651D70">
        <w:rPr>
          <w:sz w:val="28"/>
          <w:szCs w:val="28"/>
        </w:rPr>
        <w:t xml:space="preserve">анирован на низком уровне. Но из года в год происходит корректировка плановых показателей налоговых поступлений в бюджет на уменьшение и с учетом сложившихся экономических условий, </w:t>
      </w:r>
      <w:proofErr w:type="gramStart"/>
      <w:r w:rsidRPr="00651D70">
        <w:rPr>
          <w:sz w:val="28"/>
          <w:szCs w:val="28"/>
        </w:rPr>
        <w:t>где</w:t>
      </w:r>
      <w:proofErr w:type="gramEnd"/>
      <w:r w:rsidRPr="00651D70">
        <w:rPr>
          <w:sz w:val="28"/>
          <w:szCs w:val="28"/>
        </w:rPr>
        <w:t xml:space="preserve"> скорее всего индекс потребительски цен будет выше 10%, следует ожидать увеличение угроз несбалансированности бюджета.  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Рассматривая прогноз на 2016 год индекса физического объема валового регионального продукта, следует отметить его рост на 2,52%. Но рассматривая прогноз роста ВРП в реальных ценах, то планируемый индекс получится на уровне 3,11% с учетом индекса потребительских цен. Если рассчитать рост ВРП по планируемому индексу, то получится ВРП на уровне 261096,65 тыс. руб., тогда как в документах прогноз составил 278329,3 тыс. руб.    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Обратим внимание на реальные доходы населения. С учетом индекса потребительских цен реальные доходы выросли на 11,4%.  И можно считать, что этот фактор является единственным такого роста реальных доходов, так как согласно планируемым показателям уровень номинальной заработной платы увеличится на 0,03%, а она является основным источником формирования доходов.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Можно предположить, что рост среднедушевых доходов обусловлен снижением численности населения, однако согласно прогнозным показателям численность населения снизится на 0.19%, поэтому непонятен рост среднедушевых доходов населения. 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В проекте областного бюджета, где применяется программный подход к планированию, четко прослеживается разрыв между целевыми индикаторами по каждой государственной программе и распределением бюджетных ассигнований на реализацию основных мероприятий государственных программ. Непонятен механизм достижения, как заданных индикаторов, так и объективность формирования самих индикаторов. В целом индикаторы отражают Указы Президента </w:t>
      </w:r>
      <w:proofErr w:type="gramStart"/>
      <w:r w:rsidRPr="00651D70">
        <w:rPr>
          <w:sz w:val="28"/>
          <w:szCs w:val="28"/>
        </w:rPr>
        <w:t>РФ</w:t>
      </w:r>
      <w:proofErr w:type="gramEnd"/>
      <w:r w:rsidRPr="00651D70">
        <w:rPr>
          <w:sz w:val="28"/>
          <w:szCs w:val="28"/>
        </w:rPr>
        <w:t xml:space="preserve"> изданные в мае 2012 года. 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lastRenderedPageBreak/>
        <w:t xml:space="preserve">Структура бюджетных ассигнований на реализацию подпрограмм в некоторых государственных программах вызывает вопросы. Например, в программе «Развитие здравоохранение Амурской </w:t>
      </w:r>
      <w:proofErr w:type="gramStart"/>
      <w:r w:rsidRPr="00651D70">
        <w:rPr>
          <w:sz w:val="28"/>
          <w:szCs w:val="28"/>
        </w:rPr>
        <w:t>области</w:t>
      </w:r>
      <w:proofErr w:type="gramEnd"/>
      <w:r w:rsidRPr="00651D70">
        <w:rPr>
          <w:sz w:val="28"/>
          <w:szCs w:val="28"/>
        </w:rPr>
        <w:t xml:space="preserve"> а 2014-2020 годы» в бюджете 2016 года на реализацию подпрограммы «Обеспечение реализации основных направлений государственной политики в сфере реализации государственных программ» приходится 76% финансирования. Непонятно каким образом </w:t>
      </w:r>
      <w:proofErr w:type="gramStart"/>
      <w:r w:rsidRPr="00651D70">
        <w:rPr>
          <w:sz w:val="28"/>
          <w:szCs w:val="28"/>
        </w:rPr>
        <w:t>будут достигнуты заданные индикаторы и почему на данную подпрограмму приходится</w:t>
      </w:r>
      <w:proofErr w:type="gramEnd"/>
      <w:r w:rsidRPr="00651D70">
        <w:rPr>
          <w:sz w:val="28"/>
          <w:szCs w:val="28"/>
        </w:rPr>
        <w:t xml:space="preserve"> такой объем финансирования. 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В программе «Экономическое развитие и инновационная экономика Амурской области на 2014-2020 годы» на подпрограмму «Обеспечение реализации основных направлений государственной политики в сфере реализации государственных программ» приходится 39% финансирования.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В тоже время, в других государственных программах на подпрограмму «Обеспечение реализации основных направлений государственной политики в сфере реализации государственных программ» в среднем приходится не более 15%. В месте с тем, </w:t>
      </w:r>
      <w:proofErr w:type="gramStart"/>
      <w:r w:rsidRPr="00651D70">
        <w:rPr>
          <w:sz w:val="28"/>
          <w:szCs w:val="28"/>
        </w:rPr>
        <w:t xml:space="preserve">в </w:t>
      </w:r>
      <w:proofErr w:type="spellStart"/>
      <w:r w:rsidRPr="00651D70">
        <w:rPr>
          <w:sz w:val="28"/>
          <w:szCs w:val="28"/>
        </w:rPr>
        <w:t>непрограммных</w:t>
      </w:r>
      <w:proofErr w:type="spellEnd"/>
      <w:proofErr w:type="gramEnd"/>
      <w:r w:rsidRPr="00651D70">
        <w:rPr>
          <w:sz w:val="28"/>
          <w:szCs w:val="28"/>
        </w:rPr>
        <w:t xml:space="preserve"> расходах заложены денежные средства на обеспечение функционирования Правительства области.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 xml:space="preserve">Таким образом, необходимо сформировать систему нормативов в рамках государственных программ в части подпрограмм на обеспечение функций органов власти. </w:t>
      </w:r>
    </w:p>
    <w:p w:rsidR="00651D70" w:rsidRPr="00651D70" w:rsidRDefault="00651D70" w:rsidP="00651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D70">
        <w:rPr>
          <w:rFonts w:ascii="Times New Roman" w:hAnsi="Times New Roman" w:cs="Times New Roman"/>
          <w:sz w:val="28"/>
          <w:szCs w:val="28"/>
        </w:rPr>
        <w:t>Межбюджетные отношения являются важнейшим элементом бюджетного устройства РФ, оказывающего влияние как на общество в целом, так и на жизнь всех граждан. Наряду с налоговыми и неналоговыми доходами значительную часть доходов местных бюджетов составляют межбюджетные трансферты из бюджетов бюджетной системы Российской Федерации, которые предоставляются в форме дотаций, субсидий, субвенций и иных межбюджетных трансфертов.</w:t>
      </w:r>
    </w:p>
    <w:p w:rsidR="00651D70" w:rsidRPr="00651D70" w:rsidRDefault="00651D70" w:rsidP="00651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D70">
        <w:rPr>
          <w:rFonts w:ascii="Times New Roman" w:hAnsi="Times New Roman" w:cs="Times New Roman"/>
          <w:sz w:val="28"/>
          <w:szCs w:val="28"/>
        </w:rPr>
        <w:t>Рассмотрим структуру дотаций в России, предусмотренных в местных бюджетах, которая приведена на следующей диаграмме.</w:t>
      </w:r>
    </w:p>
    <w:p w:rsidR="00651D70" w:rsidRPr="00651D70" w:rsidRDefault="00651D70" w:rsidP="00651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D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2099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1D70" w:rsidRPr="00651D70" w:rsidRDefault="00651D70" w:rsidP="0065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70">
        <w:rPr>
          <w:rFonts w:ascii="Times New Roman" w:hAnsi="Times New Roman" w:cs="Times New Roman"/>
          <w:sz w:val="28"/>
          <w:szCs w:val="28"/>
        </w:rPr>
        <w:lastRenderedPageBreak/>
        <w:t>Дотации на выравнивание бюджетной обеспеченности муниципальных образований составляют 70,6% от общего объема дотаций. По сравнению с 2013 годом объем указанных дотаций уменьшился на 15,6%.</w:t>
      </w:r>
    </w:p>
    <w:p w:rsidR="00651D70" w:rsidRPr="00651D70" w:rsidRDefault="00651D70" w:rsidP="0065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70">
        <w:rPr>
          <w:rFonts w:ascii="Times New Roman" w:hAnsi="Times New Roman" w:cs="Times New Roman"/>
          <w:sz w:val="28"/>
          <w:szCs w:val="28"/>
        </w:rPr>
        <w:t xml:space="preserve">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бюджете субъекта Российской Федерации предусматриваются </w:t>
      </w:r>
      <w:proofErr w:type="gramStart"/>
      <w:r w:rsidRPr="00651D70">
        <w:rPr>
          <w:rFonts w:ascii="Times New Roman" w:hAnsi="Times New Roman" w:cs="Times New Roman"/>
          <w:sz w:val="28"/>
          <w:szCs w:val="28"/>
        </w:rPr>
        <w:t>дотации</w:t>
      </w:r>
      <w:proofErr w:type="gramEnd"/>
      <w:r w:rsidRPr="00651D70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исходя из численности жителей и (или) бюджетной обеспеченности. </w:t>
      </w:r>
    </w:p>
    <w:p w:rsidR="00651D70" w:rsidRPr="00651D70" w:rsidRDefault="00651D70" w:rsidP="00651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D70">
        <w:rPr>
          <w:rFonts w:ascii="Times New Roman" w:hAnsi="Times New Roman" w:cs="Times New Roman"/>
          <w:sz w:val="28"/>
          <w:szCs w:val="28"/>
        </w:rPr>
        <w:t xml:space="preserve">В настоящее время в целях </w:t>
      </w:r>
      <w:proofErr w:type="gramStart"/>
      <w:r w:rsidRPr="00651D70">
        <w:rPr>
          <w:rFonts w:ascii="Times New Roman" w:hAnsi="Times New Roman" w:cs="Times New Roman"/>
          <w:sz w:val="28"/>
          <w:szCs w:val="28"/>
        </w:rPr>
        <w:t>выравнивания уровня бюджетной обеспеченности территорий Амурской области</w:t>
      </w:r>
      <w:proofErr w:type="gramEnd"/>
      <w:r w:rsidRPr="00651D70">
        <w:rPr>
          <w:rFonts w:ascii="Times New Roman" w:hAnsi="Times New Roman" w:cs="Times New Roman"/>
          <w:sz w:val="28"/>
          <w:szCs w:val="28"/>
        </w:rPr>
        <w:t xml:space="preserve"> размер дотаций муниципальным образованиям Амурской области рассчитывается исходя из анализа ряда основных показателей: численности постоянного населения области; индекса налогового потенциала; индекса бюджетных расходов; недостающих до достижения минимально установленного уровня бюджетной обеспеченности средств и др. В итоге уровень бюджетной обеспеченности муниципальных образований Амурской области определяется до и после распределения дотаций, выделяемых из бюджета. Рассмотрим структуру дотаций в Амурской области, предусмотренных в местных бюджетах, которая приведена на следующей диаграмме.</w:t>
      </w:r>
    </w:p>
    <w:p w:rsidR="00651D70" w:rsidRPr="00651D70" w:rsidRDefault="00651D70" w:rsidP="00651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80140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1D70" w:rsidRPr="00651D70" w:rsidRDefault="00651D70" w:rsidP="00651D70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51D70" w:rsidRPr="00651D70" w:rsidRDefault="00651D70" w:rsidP="00651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1D70">
        <w:rPr>
          <w:rFonts w:ascii="Times New Roman" w:eastAsia="BookmanOldStyle" w:hAnsi="Times New Roman" w:cs="Times New Roman"/>
          <w:sz w:val="28"/>
          <w:szCs w:val="28"/>
        </w:rPr>
        <w:t>Основные проблемы связанны с наличием дефицита бюджетов, недостаточностью собственных источников доходов для</w:t>
      </w:r>
      <w:r w:rsidRPr="00651D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1D70">
        <w:rPr>
          <w:rFonts w:ascii="Times New Roman" w:eastAsia="BookmanOldStyle" w:hAnsi="Times New Roman" w:cs="Times New Roman"/>
          <w:sz w:val="28"/>
          <w:szCs w:val="28"/>
        </w:rPr>
        <w:t>финансирования расходных обязательств и,</w:t>
      </w:r>
      <w:r w:rsidRPr="00651D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1D70">
        <w:rPr>
          <w:rFonts w:ascii="Times New Roman" w:eastAsia="BookmanOldStyle" w:hAnsi="Times New Roman" w:cs="Times New Roman"/>
          <w:sz w:val="28"/>
          <w:szCs w:val="28"/>
        </w:rPr>
        <w:t xml:space="preserve">как следствие, высокий уровень финансовой зависимости от областного бюджета. Ежегодно объем межбюджетных трансфертов из областного бюджета бюджетам муниципальных образований Амурской области увеличивается. Система не направлена на мотивацию </w:t>
      </w:r>
      <w:r w:rsidRPr="00651D70">
        <w:rPr>
          <w:rFonts w:ascii="Times New Roman" w:eastAsia="BookmanOldStyle" w:hAnsi="Times New Roman" w:cs="Times New Roman"/>
          <w:sz w:val="28"/>
          <w:szCs w:val="28"/>
        </w:rPr>
        <w:lastRenderedPageBreak/>
        <w:t>органов местного самоуправления Амурской области к повышению эффективности бюджетных расходов.</w:t>
      </w:r>
    </w:p>
    <w:p w:rsidR="00651D70" w:rsidRPr="00651D70" w:rsidRDefault="00651D70" w:rsidP="0065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D70">
        <w:rPr>
          <w:rFonts w:ascii="Times New Roman" w:eastAsia="BookmanOldStyle" w:hAnsi="Times New Roman" w:cs="Times New Roman"/>
          <w:sz w:val="28"/>
          <w:szCs w:val="28"/>
        </w:rPr>
        <w:t xml:space="preserve">В качестве возможного варианта совершенствования распределения дотаций муниципальным образованиям Амурской области предлагаем увеличение суммы дотации на выравнивание бюджетной обеспеченности муниципальным районам и городским округам за счет снижения суммы дотации </w:t>
      </w:r>
      <w:r w:rsidRPr="00651D70">
        <w:rPr>
          <w:rFonts w:ascii="Times New Roman" w:hAnsi="Times New Roman" w:cs="Times New Roman"/>
          <w:bCs/>
          <w:sz w:val="28"/>
          <w:szCs w:val="28"/>
        </w:rPr>
        <w:t>на поддержку мер по обеспечению сбалансированности местных бюджетов. Это обусловлено тем, что:</w:t>
      </w:r>
    </w:p>
    <w:p w:rsidR="00651D70" w:rsidRPr="00651D70" w:rsidRDefault="00651D70" w:rsidP="0065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D70">
        <w:rPr>
          <w:rFonts w:ascii="Times New Roman" w:hAnsi="Times New Roman" w:cs="Times New Roman"/>
          <w:bCs/>
          <w:sz w:val="28"/>
          <w:szCs w:val="28"/>
        </w:rPr>
        <w:t xml:space="preserve">1) даже после предоставления дотации на выравнивание бюджетной обеспеченности муниципальных районов (городских округов), </w:t>
      </w:r>
      <w:proofErr w:type="gramStart"/>
      <w:r w:rsidRPr="00651D70">
        <w:rPr>
          <w:rFonts w:ascii="Times New Roman" w:hAnsi="Times New Roman" w:cs="Times New Roman"/>
          <w:bCs/>
          <w:sz w:val="28"/>
          <w:szCs w:val="28"/>
        </w:rPr>
        <w:t>многие муниципальные образования не достигают</w:t>
      </w:r>
      <w:proofErr w:type="gramEnd"/>
      <w:r w:rsidRPr="00651D70">
        <w:rPr>
          <w:rFonts w:ascii="Times New Roman" w:hAnsi="Times New Roman" w:cs="Times New Roman"/>
          <w:bCs/>
          <w:sz w:val="28"/>
          <w:szCs w:val="28"/>
        </w:rPr>
        <w:t xml:space="preserve"> порогового уровня бюджетной обеспеченности. Происходит существенное отставание одних районов от других. Предоставление недостающей суммы дотации на выравнивание бюджетной обеспеченности позволит выровнять муниципальные районы (городские округа) до одного уровня бюджетной обеспеченности;</w:t>
      </w:r>
    </w:p>
    <w:p w:rsidR="00651D70" w:rsidRPr="00651D70" w:rsidRDefault="00651D70" w:rsidP="0065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D70">
        <w:rPr>
          <w:rFonts w:ascii="Times New Roman" w:hAnsi="Times New Roman" w:cs="Times New Roman"/>
          <w:bCs/>
          <w:sz w:val="28"/>
          <w:szCs w:val="28"/>
        </w:rPr>
        <w:t>2) согласно «Основным направлениям бюджетной и налоговой политики Амурской области на 2015-2017 годы», финансовое обеспечение первоочередных расходов местных бюджетов будет осуществляться путем предоставления дотаций на выравнивание бюджетной обеспеченности, которые направляются на сглаживание диспропорций в уровне бюджетных возможностей бюджета муниципальных образований. Данный вид финансовой помощи должен стать основным видом межбюджетных трансфертов, предоставляемых из областного бюджета бюджетам муниципальных районов, городских округов области;</w:t>
      </w:r>
    </w:p>
    <w:p w:rsidR="00651D70" w:rsidRPr="00651D70" w:rsidRDefault="00651D70" w:rsidP="00651D70">
      <w:pPr>
        <w:pStyle w:val="s1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1D70">
        <w:rPr>
          <w:bCs/>
          <w:sz w:val="28"/>
          <w:szCs w:val="28"/>
        </w:rPr>
        <w:t xml:space="preserve">3) дотации на поддержку мер по обеспечению сбалансированности местных бюджетов относятся к иным межбюджетным трансфертам. Статьей 139.1 Бюджетного Кодекса введено </w:t>
      </w:r>
      <w:r w:rsidRPr="00651D70">
        <w:rPr>
          <w:rStyle w:val="s10"/>
          <w:rFonts w:eastAsiaTheme="majorEastAsia"/>
          <w:sz w:val="28"/>
          <w:szCs w:val="28"/>
        </w:rPr>
        <w:t xml:space="preserve">ограничение на объем иных межбюджетных трансфертов в общей сумме межбюджетных трансфертов. </w:t>
      </w:r>
      <w:hyperlink r:id="rId9" w:anchor="block_47" w:history="1">
        <w:proofErr w:type="gramStart"/>
        <w:r w:rsidRPr="00651D70">
          <w:rPr>
            <w:rStyle w:val="a9"/>
            <w:rFonts w:eastAsiaTheme="majorEastAsia"/>
            <w:sz w:val="28"/>
            <w:szCs w:val="28"/>
          </w:rPr>
          <w:t>Иные межбюджетные трансферты</w:t>
        </w:r>
      </w:hyperlink>
      <w:r w:rsidRPr="00651D70">
        <w:rPr>
          <w:sz w:val="28"/>
          <w:szCs w:val="28"/>
        </w:rPr>
        <w:t xml:space="preserve"> из бюджета субъекта Российской Федерации, в том числе в форме дотаций, могут предоставляться в пределах 10 процентов общего объема межбюджетных трансфертов местным бюджетам из бюджета субъекта Российской Федерации (за исключением субвенций) и (или) расчетного объема дотации на выравнивание бюджетной обеспеченности (части расчетного объема дотации), замененной дополнительными нормативами отчислений.</w:t>
      </w:r>
      <w:proofErr w:type="gramEnd"/>
      <w:r w:rsidRPr="00651D70">
        <w:rPr>
          <w:sz w:val="28"/>
          <w:szCs w:val="28"/>
        </w:rPr>
        <w:t xml:space="preserve"> В Амурской области до 1 января 2017 года данная норма может нарушаться. В 2014 году объем дотаций </w:t>
      </w:r>
      <w:r w:rsidRPr="00651D70">
        <w:rPr>
          <w:bCs/>
          <w:sz w:val="28"/>
          <w:szCs w:val="28"/>
        </w:rPr>
        <w:t>на поддержку мер по обеспечению сбалансированности местных бюджетов составил 9,5 %;</w:t>
      </w:r>
    </w:p>
    <w:p w:rsidR="00651D70" w:rsidRPr="00651D70" w:rsidRDefault="00651D70" w:rsidP="00651D7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D70">
        <w:rPr>
          <w:bCs/>
          <w:sz w:val="28"/>
          <w:szCs w:val="28"/>
        </w:rPr>
        <w:t xml:space="preserve">4) </w:t>
      </w:r>
      <w:r w:rsidRPr="00651D70">
        <w:rPr>
          <w:sz w:val="28"/>
          <w:szCs w:val="28"/>
        </w:rPr>
        <w:t xml:space="preserve">методика предоставления дотаций на выравнивание бюджетной обеспеченности более соответствует принципам прозрачности, объективности, достоверности </w:t>
      </w:r>
      <w:proofErr w:type="spellStart"/>
      <w:r w:rsidRPr="00651D70">
        <w:rPr>
          <w:sz w:val="28"/>
          <w:szCs w:val="28"/>
        </w:rPr>
        <w:t>проверяемости</w:t>
      </w:r>
      <w:proofErr w:type="spellEnd"/>
      <w:r w:rsidRPr="00651D70">
        <w:rPr>
          <w:sz w:val="28"/>
          <w:szCs w:val="28"/>
        </w:rPr>
        <w:t xml:space="preserve"> расчетов;</w:t>
      </w:r>
    </w:p>
    <w:p w:rsidR="00651D70" w:rsidRPr="00651D70" w:rsidRDefault="00651D70" w:rsidP="00651D70">
      <w:pPr>
        <w:pStyle w:val="aa"/>
        <w:spacing w:after="0"/>
        <w:ind w:firstLine="709"/>
        <w:jc w:val="both"/>
        <w:rPr>
          <w:rFonts w:eastAsia="SimSun"/>
          <w:sz w:val="28"/>
          <w:szCs w:val="28"/>
        </w:rPr>
      </w:pPr>
      <w:r w:rsidRPr="00651D70">
        <w:rPr>
          <w:sz w:val="28"/>
          <w:szCs w:val="28"/>
        </w:rPr>
        <w:t xml:space="preserve">5) </w:t>
      </w:r>
      <w:r w:rsidRPr="00651D70">
        <w:rPr>
          <w:rFonts w:eastAsia="SimSun"/>
          <w:sz w:val="28"/>
          <w:szCs w:val="28"/>
        </w:rPr>
        <w:t xml:space="preserve">дотация на поддержку мер по обеспечению сбалансированности местных бюджетов распределяется исходя из нормативов на одного потребителя муниципальных услуг и исходя из необходимости покрытия </w:t>
      </w:r>
      <w:r w:rsidRPr="00651D70">
        <w:rPr>
          <w:rFonts w:eastAsia="SimSun"/>
          <w:sz w:val="28"/>
          <w:szCs w:val="28"/>
        </w:rPr>
        <w:lastRenderedPageBreak/>
        <w:t>недостатка средств на первоочередные расходы. Некоторые муниципальные образования могут быть заинтересованы в увеличении дефицита бюджета, с целью получения данной дотации, а не наоборот, его сокращения. Необходимо ввести ограничения на предоставление данной дотации.</w:t>
      </w:r>
    </w:p>
    <w:p w:rsidR="00651D70" w:rsidRPr="00651D70" w:rsidRDefault="00651D70" w:rsidP="00651D70">
      <w:pPr>
        <w:pStyle w:val="a8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Таким образом, предлагаю рассмотреть следующие замечания к бюджету Амурской области на 2016 год:</w:t>
      </w:r>
    </w:p>
    <w:p w:rsidR="00651D70" w:rsidRPr="00651D70" w:rsidRDefault="00651D70" w:rsidP="00651D7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Осуществлять прогноз макроэкономических показателей более точно и исходя из новых экономических условий.</w:t>
      </w:r>
    </w:p>
    <w:p w:rsidR="00651D70" w:rsidRPr="00651D70" w:rsidRDefault="00651D70" w:rsidP="00651D7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Сделать привязку индикаторов в рамках государственной программы к расходованию средств на подпрограммы.</w:t>
      </w:r>
    </w:p>
    <w:p w:rsidR="00651D70" w:rsidRPr="00651D70" w:rsidRDefault="00651D70" w:rsidP="00651D7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1D70">
        <w:rPr>
          <w:sz w:val="28"/>
          <w:szCs w:val="28"/>
        </w:rPr>
        <w:t>При планировании расходов на обеспечение функций органов власти осуществлять нормативный подход.</w:t>
      </w:r>
    </w:p>
    <w:p w:rsidR="00651D70" w:rsidRPr="00651D70" w:rsidRDefault="00651D70" w:rsidP="00651D7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1D70">
        <w:rPr>
          <w:rFonts w:eastAsia="BookmanOldStyle"/>
          <w:sz w:val="28"/>
          <w:szCs w:val="28"/>
        </w:rPr>
        <w:t xml:space="preserve">Провести совершенствование распределения дотаций муниципальным образованиям Амурской области на выравнивание бюджетной обеспеченности муниципальным районам и городским округам за счет снижения суммы дотации </w:t>
      </w:r>
      <w:r w:rsidRPr="00651D70">
        <w:rPr>
          <w:bCs/>
          <w:sz w:val="28"/>
          <w:szCs w:val="28"/>
        </w:rPr>
        <w:t>на поддержку мер по обеспечению сбалансированности местных бюджетов.</w:t>
      </w:r>
    </w:p>
    <w:p w:rsidR="00651D70" w:rsidRPr="00651D70" w:rsidRDefault="00651D70" w:rsidP="00651D70">
      <w:pPr>
        <w:pStyle w:val="a8"/>
        <w:ind w:firstLine="0"/>
        <w:jc w:val="both"/>
        <w:rPr>
          <w:sz w:val="28"/>
          <w:szCs w:val="28"/>
        </w:rPr>
      </w:pPr>
    </w:p>
    <w:p w:rsidR="00651D70" w:rsidRDefault="00651D70" w:rsidP="00651D70">
      <w:pPr>
        <w:pStyle w:val="a8"/>
        <w:ind w:firstLine="0"/>
        <w:jc w:val="both"/>
        <w:rPr>
          <w:sz w:val="28"/>
          <w:szCs w:val="28"/>
        </w:rPr>
      </w:pPr>
    </w:p>
    <w:p w:rsidR="00651D70" w:rsidRDefault="00651D70" w:rsidP="00651D70">
      <w:pPr>
        <w:pStyle w:val="a8"/>
        <w:ind w:firstLine="0"/>
        <w:jc w:val="both"/>
        <w:rPr>
          <w:sz w:val="28"/>
          <w:szCs w:val="28"/>
        </w:rPr>
      </w:pPr>
    </w:p>
    <w:p w:rsidR="00651D70" w:rsidRDefault="00651D70" w:rsidP="00651D70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1B1E">
        <w:rPr>
          <w:sz w:val="28"/>
          <w:szCs w:val="28"/>
        </w:rPr>
        <w:t xml:space="preserve">андидат </w:t>
      </w:r>
      <w:r>
        <w:rPr>
          <w:sz w:val="28"/>
          <w:szCs w:val="28"/>
        </w:rPr>
        <w:t>эконом</w:t>
      </w:r>
      <w:proofErr w:type="gramStart"/>
      <w:r>
        <w:rPr>
          <w:sz w:val="28"/>
          <w:szCs w:val="28"/>
        </w:rPr>
        <w:t>.</w:t>
      </w:r>
      <w:proofErr w:type="gramEnd"/>
      <w:r w:rsidRPr="00B61B1E">
        <w:rPr>
          <w:sz w:val="28"/>
          <w:szCs w:val="28"/>
        </w:rPr>
        <w:t xml:space="preserve"> </w:t>
      </w:r>
      <w:proofErr w:type="gramStart"/>
      <w:r w:rsidRPr="00B61B1E">
        <w:rPr>
          <w:sz w:val="28"/>
          <w:szCs w:val="28"/>
        </w:rPr>
        <w:t>н</w:t>
      </w:r>
      <w:proofErr w:type="gramEnd"/>
      <w:r w:rsidRPr="00B61B1E">
        <w:rPr>
          <w:sz w:val="28"/>
          <w:szCs w:val="28"/>
        </w:rPr>
        <w:t xml:space="preserve">аук, </w:t>
      </w:r>
    </w:p>
    <w:p w:rsidR="00651D70" w:rsidRDefault="00651D70" w:rsidP="00651D70">
      <w:pPr>
        <w:pStyle w:val="a8"/>
        <w:ind w:firstLine="0"/>
        <w:jc w:val="both"/>
        <w:rPr>
          <w:sz w:val="28"/>
          <w:szCs w:val="28"/>
        </w:rPr>
      </w:pPr>
      <w:r w:rsidRPr="00B61B1E">
        <w:rPr>
          <w:sz w:val="28"/>
          <w:szCs w:val="28"/>
        </w:rPr>
        <w:t>доцент кафедры экономи</w:t>
      </w:r>
      <w:r>
        <w:rPr>
          <w:sz w:val="28"/>
          <w:szCs w:val="28"/>
        </w:rPr>
        <w:t xml:space="preserve">ческой теории и </w:t>
      </w:r>
    </w:p>
    <w:p w:rsidR="00651D70" w:rsidRDefault="00651D70" w:rsidP="00651D70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управления </w:t>
      </w:r>
      <w:proofErr w:type="spellStart"/>
      <w:r>
        <w:rPr>
          <w:sz w:val="28"/>
          <w:szCs w:val="28"/>
        </w:rPr>
        <w:t>АмГУ</w:t>
      </w:r>
      <w:proofErr w:type="spellEnd"/>
      <w:r>
        <w:rPr>
          <w:sz w:val="28"/>
          <w:szCs w:val="28"/>
        </w:rPr>
        <w:t>,</w:t>
      </w:r>
    </w:p>
    <w:p w:rsidR="00651D70" w:rsidRPr="00FD53B5" w:rsidRDefault="00651D70" w:rsidP="00651D70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эксперт Общественной палаты Амурской области                      Зинченко М.В.</w:t>
      </w:r>
    </w:p>
    <w:sectPr w:rsidR="00651D70" w:rsidRPr="00FD53B5" w:rsidSect="0082759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8F" w:rsidRDefault="00FA198F" w:rsidP="003B425B">
      <w:pPr>
        <w:spacing w:after="0" w:line="240" w:lineRule="auto"/>
      </w:pPr>
      <w:r>
        <w:separator/>
      </w:r>
    </w:p>
  </w:endnote>
  <w:endnote w:type="continuationSeparator" w:id="1">
    <w:p w:rsidR="00FA198F" w:rsidRDefault="00FA198F" w:rsidP="003B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8F" w:rsidRDefault="00FA198F" w:rsidP="003B425B">
      <w:pPr>
        <w:spacing w:after="0" w:line="240" w:lineRule="auto"/>
      </w:pPr>
      <w:r>
        <w:separator/>
      </w:r>
    </w:p>
  </w:footnote>
  <w:footnote w:type="continuationSeparator" w:id="1">
    <w:p w:rsidR="00FA198F" w:rsidRDefault="00FA198F" w:rsidP="003B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3662"/>
      <w:docPartObj>
        <w:docPartGallery w:val="Page Numbers (Top of Page)"/>
        <w:docPartUnique/>
      </w:docPartObj>
    </w:sdtPr>
    <w:sdtContent>
      <w:p w:rsidR="003B425B" w:rsidRDefault="003B1E96">
        <w:pPr>
          <w:pStyle w:val="a4"/>
          <w:jc w:val="center"/>
        </w:pPr>
        <w:fldSimple w:instr=" PAGE   \* MERGEFORMAT ">
          <w:r w:rsidR="00315FF4">
            <w:rPr>
              <w:noProof/>
            </w:rPr>
            <w:t>1</w:t>
          </w:r>
        </w:fldSimple>
      </w:p>
    </w:sdtContent>
  </w:sdt>
  <w:p w:rsidR="003B425B" w:rsidRDefault="003B42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49"/>
    <w:multiLevelType w:val="hybridMultilevel"/>
    <w:tmpl w:val="6E6C8CDC"/>
    <w:lvl w:ilvl="0" w:tplc="4B4E6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EC2"/>
    <w:rsid w:val="00010738"/>
    <w:rsid w:val="000407A3"/>
    <w:rsid w:val="000B40A2"/>
    <w:rsid w:val="000B4ED9"/>
    <w:rsid w:val="000E453E"/>
    <w:rsid w:val="000E79F9"/>
    <w:rsid w:val="00112B8E"/>
    <w:rsid w:val="00127484"/>
    <w:rsid w:val="001805D7"/>
    <w:rsid w:val="0019243A"/>
    <w:rsid w:val="00224F7D"/>
    <w:rsid w:val="00315FF4"/>
    <w:rsid w:val="00373671"/>
    <w:rsid w:val="00385F48"/>
    <w:rsid w:val="003B1E96"/>
    <w:rsid w:val="003B425B"/>
    <w:rsid w:val="004B4C7C"/>
    <w:rsid w:val="004C2386"/>
    <w:rsid w:val="005843AB"/>
    <w:rsid w:val="005B7A9E"/>
    <w:rsid w:val="00651D70"/>
    <w:rsid w:val="0066318E"/>
    <w:rsid w:val="00692214"/>
    <w:rsid w:val="006963A0"/>
    <w:rsid w:val="006B1F5E"/>
    <w:rsid w:val="00706AEC"/>
    <w:rsid w:val="00726E8B"/>
    <w:rsid w:val="007A6B3D"/>
    <w:rsid w:val="007D2EC2"/>
    <w:rsid w:val="007F73BF"/>
    <w:rsid w:val="0082759D"/>
    <w:rsid w:val="008A2F58"/>
    <w:rsid w:val="008E5C9B"/>
    <w:rsid w:val="008F6A4E"/>
    <w:rsid w:val="0093779B"/>
    <w:rsid w:val="00960372"/>
    <w:rsid w:val="00982FD6"/>
    <w:rsid w:val="009E7E2F"/>
    <w:rsid w:val="00AA12B8"/>
    <w:rsid w:val="00AE3047"/>
    <w:rsid w:val="00AF7BF8"/>
    <w:rsid w:val="00B0392B"/>
    <w:rsid w:val="00B50A66"/>
    <w:rsid w:val="00B84D91"/>
    <w:rsid w:val="00BB222F"/>
    <w:rsid w:val="00BD6426"/>
    <w:rsid w:val="00C10D79"/>
    <w:rsid w:val="00C17CFF"/>
    <w:rsid w:val="00C64B5C"/>
    <w:rsid w:val="00C67DBC"/>
    <w:rsid w:val="00DC0DA8"/>
    <w:rsid w:val="00DE2C3F"/>
    <w:rsid w:val="00E777C3"/>
    <w:rsid w:val="00EC3046"/>
    <w:rsid w:val="00F244A0"/>
    <w:rsid w:val="00F650FB"/>
    <w:rsid w:val="00F662EA"/>
    <w:rsid w:val="00FA198F"/>
    <w:rsid w:val="00FD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24F7D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24F7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25B"/>
  </w:style>
  <w:style w:type="paragraph" w:styleId="a6">
    <w:name w:val="footer"/>
    <w:basedOn w:val="a"/>
    <w:link w:val="a7"/>
    <w:uiPriority w:val="99"/>
    <w:semiHidden/>
    <w:unhideWhenUsed/>
    <w:rsid w:val="003B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25B"/>
  </w:style>
  <w:style w:type="paragraph" w:styleId="a8">
    <w:name w:val="No Spacing"/>
    <w:uiPriority w:val="1"/>
    <w:qFormat/>
    <w:rsid w:val="00651D70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0"/>
    <w:uiPriority w:val="99"/>
    <w:rsid w:val="00651D70"/>
    <w:rPr>
      <w:color w:val="0000FF"/>
      <w:u w:val="single"/>
    </w:rPr>
  </w:style>
  <w:style w:type="paragraph" w:styleId="aa">
    <w:name w:val="Body Text"/>
    <w:basedOn w:val="a"/>
    <w:link w:val="ab"/>
    <w:unhideWhenUsed/>
    <w:rsid w:val="00651D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51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1D70"/>
  </w:style>
  <w:style w:type="paragraph" w:styleId="ac">
    <w:name w:val="Balloon Text"/>
    <w:basedOn w:val="a"/>
    <w:link w:val="ad"/>
    <w:uiPriority w:val="99"/>
    <w:semiHidden/>
    <w:unhideWhenUsed/>
    <w:rsid w:val="0065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24F7D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24F7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985384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tmpDDFB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10833333333333336"/>
                  <c:y val="4.16666666666666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0.10833333333333332"/>
                  <c:y val="9.25925925925930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0.1"/>
                  <c:y val="-0.152777777777777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Лист1!$F$6:$F$8</c:f>
              <c:strCache>
                <c:ptCount val="3"/>
                <c:pt idx="0">
                  <c:v>дотации на выравнивание бюджетной обеспеченности</c:v>
                </c:pt>
                <c:pt idx="1">
                  <c:v>прочие дотации</c:v>
                </c:pt>
                <c:pt idx="2">
                  <c:v>дотации на поддержку мер по обеспечению сбалансированности</c:v>
                </c:pt>
              </c:strCache>
            </c:strRef>
          </c:cat>
          <c:val>
            <c:numRef>
              <c:f>Лист1!$E$6:$E$8</c:f>
              <c:numCache>
                <c:formatCode>General</c:formatCode>
                <c:ptCount val="3"/>
                <c:pt idx="0">
                  <c:v>70.599999999999994</c:v>
                </c:pt>
                <c:pt idx="1">
                  <c:v>6.1</c:v>
                </c:pt>
                <c:pt idx="2">
                  <c:v>23.3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100"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prstMaterial="dkEdge"/>
          </c:spPr>
          <c:dPt>
            <c:idx val="0"/>
            <c:spPr>
              <a:scene3d>
                <a:camera prst="orthographicFront"/>
                <a:lightRig rig="threePt" dir="t"/>
              </a:scene3d>
              <a:sp3d prstMaterial="dkEdge">
                <a:bevelT w="165100" prst="coolSlant"/>
              </a:sp3d>
            </c:spPr>
          </c:dPt>
          <c:dPt>
            <c:idx val="1"/>
            <c:spPr>
              <a:scene3d>
                <a:camera prst="orthographicFront"/>
                <a:lightRig rig="threePt" dir="t"/>
              </a:scene3d>
              <a:sp3d prstMaterial="dkEdge"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4.7619047619047623E-2"/>
                  <c:y val="-0.152570480928689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6300366300366287"/>
                  <c:y val="0.119402985074626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97,04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6776556776556776E-2"/>
                  <c:y val="-0.152570480928689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Sheet1!$E$14:$E$16</c:f>
              <c:strCache>
                <c:ptCount val="3"/>
                <c:pt idx="0">
                  <c:v>дотации на выравнивание бюджетной обеспеченности</c:v>
                </c:pt>
                <c:pt idx="1">
                  <c:v>дотации на поддержку мер по обеспечению сбалансированности</c:v>
                </c:pt>
                <c:pt idx="2">
                  <c:v>прочие дотации</c:v>
                </c:pt>
              </c:strCache>
            </c:strRef>
          </c:cat>
          <c:val>
            <c:numRef>
              <c:f>Sheet1!$D$14:$D$16</c:f>
              <c:numCache>
                <c:formatCode>0.00</c:formatCode>
                <c:ptCount val="3"/>
                <c:pt idx="0">
                  <c:v>2.689731076112416</c:v>
                </c:pt>
                <c:pt idx="1">
                  <c:v>97.035296748322097</c:v>
                </c:pt>
                <c:pt idx="2">
                  <c:v>0.27497217556555514</c:v>
                </c:pt>
              </c:numCache>
            </c:numRef>
          </c:val>
        </c:ser>
        <c:firstSliceAng val="0"/>
        <c:holeSize val="50"/>
      </c:doughnutChart>
      <c:spPr>
        <a:scene3d>
          <a:camera prst="orthographicFront"/>
          <a:lightRig rig="threePt" dir="t"/>
        </a:scene3d>
        <a:sp3d>
          <a:bevelT w="165100" prst="coolSlant"/>
        </a:sp3d>
      </c:spPr>
    </c:plotArea>
    <c:legend>
      <c:legendPos val="r"/>
      <c:txPr>
        <a:bodyPr/>
        <a:lstStyle/>
        <a:p>
          <a:pPr rtl="0">
            <a:defRPr sz="1200"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dcterms:created xsi:type="dcterms:W3CDTF">2015-11-03T07:27:00Z</dcterms:created>
  <dcterms:modified xsi:type="dcterms:W3CDTF">2015-11-09T00:46:00Z</dcterms:modified>
</cp:coreProperties>
</file>