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9C" w:rsidRDefault="0001609C" w:rsidP="0001609C">
      <w:pPr>
        <w:pStyle w:val="a6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01609C">
        <w:rPr>
          <w:b/>
          <w:sz w:val="32"/>
          <w:szCs w:val="32"/>
        </w:rPr>
        <w:t xml:space="preserve">Экспертное заключение </w:t>
      </w:r>
    </w:p>
    <w:p w:rsidR="0001609C" w:rsidRPr="0001609C" w:rsidRDefault="0001609C" w:rsidP="0001609C">
      <w:pPr>
        <w:pStyle w:val="a6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01609C">
        <w:rPr>
          <w:b/>
          <w:sz w:val="32"/>
          <w:szCs w:val="32"/>
        </w:rPr>
        <w:t>на проект Закона Амурской области</w:t>
      </w:r>
    </w:p>
    <w:p w:rsidR="0001609C" w:rsidRPr="0001609C" w:rsidRDefault="0001609C" w:rsidP="0001609C">
      <w:pPr>
        <w:pStyle w:val="a6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01609C">
        <w:rPr>
          <w:b/>
          <w:sz w:val="32"/>
          <w:szCs w:val="32"/>
        </w:rPr>
        <w:t>«Об исполнении бюджета за 2013 год».</w:t>
      </w:r>
    </w:p>
    <w:p w:rsidR="0001609C" w:rsidRPr="0001609C" w:rsidRDefault="0001609C">
      <w:pPr>
        <w:rPr>
          <w:rFonts w:ascii="Times New Roman" w:hAnsi="Times New Roman"/>
          <w:sz w:val="28"/>
          <w:szCs w:val="28"/>
        </w:rPr>
      </w:pPr>
    </w:p>
    <w:p w:rsidR="00395C62" w:rsidRDefault="000F01D4" w:rsidP="000160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Известно, что публичные слушания являются одной из форм участия населения в местном самоуправлении.  </w:t>
      </w:r>
      <w:r w:rsidR="00395C62">
        <w:rPr>
          <w:rFonts w:ascii="Times New Roman" w:hAnsi="Times New Roman"/>
          <w:sz w:val="28"/>
          <w:szCs w:val="28"/>
        </w:rPr>
        <w:t xml:space="preserve">Действительно, </w:t>
      </w:r>
      <w:r>
        <w:rPr>
          <w:rFonts w:ascii="Times New Roman" w:hAnsi="Times New Roman"/>
          <w:sz w:val="28"/>
          <w:szCs w:val="28"/>
        </w:rPr>
        <w:t>есть вопросы, которые для населения являются жизненно важными</w:t>
      </w:r>
      <w:r w:rsidR="00395C62">
        <w:rPr>
          <w:rFonts w:ascii="Times New Roman" w:hAnsi="Times New Roman"/>
          <w:sz w:val="28"/>
          <w:szCs w:val="28"/>
        </w:rPr>
        <w:t xml:space="preserve"> и о том, как они решаются</w:t>
      </w:r>
      <w:r w:rsidR="006C5494">
        <w:rPr>
          <w:rFonts w:ascii="Times New Roman" w:hAnsi="Times New Roman"/>
          <w:sz w:val="28"/>
          <w:szCs w:val="28"/>
        </w:rPr>
        <w:t>,</w:t>
      </w:r>
      <w:r w:rsidR="00395C62">
        <w:rPr>
          <w:rFonts w:ascii="Times New Roman" w:hAnsi="Times New Roman"/>
          <w:sz w:val="28"/>
          <w:szCs w:val="28"/>
        </w:rPr>
        <w:t xml:space="preserve"> население заинтересовано знать</w:t>
      </w:r>
      <w:r>
        <w:rPr>
          <w:rFonts w:ascii="Times New Roman" w:hAnsi="Times New Roman"/>
          <w:sz w:val="28"/>
          <w:szCs w:val="28"/>
        </w:rPr>
        <w:t xml:space="preserve">. Это </w:t>
      </w:r>
      <w:r w:rsidR="00395C62">
        <w:rPr>
          <w:rFonts w:ascii="Times New Roman" w:hAnsi="Times New Roman"/>
          <w:sz w:val="28"/>
          <w:szCs w:val="28"/>
        </w:rPr>
        <w:t xml:space="preserve">– ремонт и строительство </w:t>
      </w:r>
      <w:r>
        <w:rPr>
          <w:rFonts w:ascii="Times New Roman" w:hAnsi="Times New Roman"/>
          <w:sz w:val="28"/>
          <w:szCs w:val="28"/>
        </w:rPr>
        <w:t xml:space="preserve">дорог, </w:t>
      </w:r>
      <w:r w:rsidR="00395C62">
        <w:rPr>
          <w:rFonts w:ascii="Times New Roman" w:hAnsi="Times New Roman"/>
          <w:sz w:val="28"/>
          <w:szCs w:val="28"/>
        </w:rPr>
        <w:t xml:space="preserve">состояние </w:t>
      </w:r>
      <w:r>
        <w:rPr>
          <w:rFonts w:ascii="Times New Roman" w:hAnsi="Times New Roman"/>
          <w:sz w:val="28"/>
          <w:szCs w:val="28"/>
        </w:rPr>
        <w:t>коммунальн</w:t>
      </w:r>
      <w:r w:rsidR="00395C6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сфер</w:t>
      </w:r>
      <w:r w:rsidR="00395C6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бесперебойное обеспечение электричеством и водой, </w:t>
      </w:r>
      <w:r w:rsidR="00395C62">
        <w:rPr>
          <w:rFonts w:ascii="Times New Roman" w:hAnsi="Times New Roman"/>
          <w:sz w:val="28"/>
          <w:szCs w:val="28"/>
        </w:rPr>
        <w:t>регулярн</w:t>
      </w:r>
      <w:r w:rsidR="00AD349A">
        <w:rPr>
          <w:rFonts w:ascii="Times New Roman" w:hAnsi="Times New Roman"/>
          <w:sz w:val="28"/>
          <w:szCs w:val="28"/>
        </w:rPr>
        <w:t>ый</w:t>
      </w:r>
      <w:r w:rsidR="00395C62">
        <w:rPr>
          <w:rFonts w:ascii="Times New Roman" w:hAnsi="Times New Roman"/>
          <w:sz w:val="28"/>
          <w:szCs w:val="28"/>
        </w:rPr>
        <w:t xml:space="preserve"> </w:t>
      </w:r>
      <w:r w:rsidR="00AD349A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ст тариф</w:t>
      </w:r>
      <w:r w:rsidR="00AD349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C57F3" w:rsidRDefault="000F01D4" w:rsidP="000160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="00395C62">
        <w:rPr>
          <w:rFonts w:ascii="Times New Roman" w:hAnsi="Times New Roman"/>
          <w:sz w:val="28"/>
          <w:szCs w:val="28"/>
        </w:rPr>
        <w:t xml:space="preserve"> на практике</w:t>
      </w:r>
      <w:r w:rsidR="008A26A2">
        <w:rPr>
          <w:rFonts w:ascii="Times New Roman" w:hAnsi="Times New Roman"/>
          <w:sz w:val="28"/>
          <w:szCs w:val="28"/>
        </w:rPr>
        <w:t>, планирование и исполнение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8A26A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="00395C62">
        <w:rPr>
          <w:rFonts w:ascii="Times New Roman" w:hAnsi="Times New Roman"/>
          <w:sz w:val="28"/>
          <w:szCs w:val="28"/>
        </w:rPr>
        <w:t>ов</w:t>
      </w:r>
      <w:r w:rsidR="00AD349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AD349A">
        <w:rPr>
          <w:rFonts w:ascii="Times New Roman" w:hAnsi="Times New Roman"/>
          <w:sz w:val="28"/>
          <w:szCs w:val="28"/>
        </w:rPr>
        <w:t xml:space="preserve">всей Амурской </w:t>
      </w:r>
      <w:r>
        <w:rPr>
          <w:rFonts w:ascii="Times New Roman" w:hAnsi="Times New Roman"/>
          <w:sz w:val="28"/>
          <w:szCs w:val="28"/>
        </w:rPr>
        <w:t>области, в котор</w:t>
      </w:r>
      <w:r w:rsidR="008A26A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8A26A2">
        <w:rPr>
          <w:rFonts w:ascii="Times New Roman" w:hAnsi="Times New Roman"/>
          <w:sz w:val="28"/>
          <w:szCs w:val="28"/>
        </w:rPr>
        <w:t xml:space="preserve">планируются и выделяются деньги </w:t>
      </w:r>
      <w:r>
        <w:rPr>
          <w:rFonts w:ascii="Times New Roman" w:hAnsi="Times New Roman"/>
          <w:sz w:val="28"/>
          <w:szCs w:val="28"/>
        </w:rPr>
        <w:t>на эти самые жизненно важные вопросы, для населения все еще не является темой интересной для обсуждения.</w:t>
      </w:r>
    </w:p>
    <w:p w:rsidR="000F01D4" w:rsidRDefault="000F01D4" w:rsidP="000160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уже отмечал в прошлом году, что</w:t>
      </w:r>
      <w:r w:rsidR="008A26A2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происходит потому, что:</w:t>
      </w:r>
    </w:p>
    <w:p w:rsidR="000F01D4" w:rsidRDefault="008A26A2" w:rsidP="000F01D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F01D4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>ы и отчеты по их исполнению</w:t>
      </w:r>
      <w:r w:rsidR="000F01D4">
        <w:rPr>
          <w:rFonts w:ascii="Times New Roman" w:hAnsi="Times New Roman"/>
          <w:sz w:val="28"/>
          <w:szCs w:val="28"/>
        </w:rPr>
        <w:t xml:space="preserve"> составля</w:t>
      </w:r>
      <w:r>
        <w:rPr>
          <w:rFonts w:ascii="Times New Roman" w:hAnsi="Times New Roman"/>
          <w:sz w:val="28"/>
          <w:szCs w:val="28"/>
        </w:rPr>
        <w:t>ю</w:t>
      </w:r>
      <w:r w:rsidR="000F01D4">
        <w:rPr>
          <w:rFonts w:ascii="Times New Roman" w:hAnsi="Times New Roman"/>
          <w:sz w:val="28"/>
          <w:szCs w:val="28"/>
        </w:rPr>
        <w:t>тся в виде, совершенно недоступном для понимания просты</w:t>
      </w:r>
      <w:r w:rsidR="00AD349A">
        <w:rPr>
          <w:rFonts w:ascii="Times New Roman" w:hAnsi="Times New Roman"/>
          <w:sz w:val="28"/>
          <w:szCs w:val="28"/>
        </w:rPr>
        <w:t>ми</w:t>
      </w:r>
      <w:r w:rsidR="000F01D4">
        <w:rPr>
          <w:rFonts w:ascii="Times New Roman" w:hAnsi="Times New Roman"/>
          <w:sz w:val="28"/>
          <w:szCs w:val="28"/>
        </w:rPr>
        <w:t xml:space="preserve"> граждан</w:t>
      </w:r>
      <w:r w:rsidR="00AD349A">
        <w:rPr>
          <w:rFonts w:ascii="Times New Roman" w:hAnsi="Times New Roman"/>
          <w:sz w:val="28"/>
          <w:szCs w:val="28"/>
        </w:rPr>
        <w:t>ами;</w:t>
      </w:r>
    </w:p>
    <w:p w:rsidR="00911B56" w:rsidRDefault="000F01D4" w:rsidP="00911B5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8A26A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отчет</w:t>
      </w:r>
      <w:r w:rsidR="008A26A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8A26A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бюджета</w:t>
      </w:r>
      <w:r w:rsidR="008A26A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совершенно не сопоставимы, во-первых</w:t>
      </w:r>
      <w:r w:rsidR="00911B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из-за разных форматов их составления, во-вторых, из-за </w:t>
      </w:r>
      <w:r w:rsidR="00911B56">
        <w:rPr>
          <w:rFonts w:ascii="Times New Roman" w:hAnsi="Times New Roman"/>
          <w:sz w:val="28"/>
          <w:szCs w:val="28"/>
        </w:rPr>
        <w:t xml:space="preserve">того, что исполнение бюджета сравнивается не с его первоначальным </w:t>
      </w:r>
      <w:r w:rsidR="00AD349A">
        <w:rPr>
          <w:rFonts w:ascii="Times New Roman" w:hAnsi="Times New Roman"/>
          <w:sz w:val="28"/>
          <w:szCs w:val="28"/>
        </w:rPr>
        <w:t xml:space="preserve">утвержденным законом области </w:t>
      </w:r>
      <w:r w:rsidR="00911B56">
        <w:rPr>
          <w:rFonts w:ascii="Times New Roman" w:hAnsi="Times New Roman"/>
          <w:sz w:val="28"/>
          <w:szCs w:val="28"/>
        </w:rPr>
        <w:t xml:space="preserve">видом, а с последним вариантом бюджета, который утверждается несколько раз </w:t>
      </w:r>
      <w:r w:rsidR="00AD349A">
        <w:rPr>
          <w:rFonts w:ascii="Times New Roman" w:hAnsi="Times New Roman"/>
          <w:sz w:val="28"/>
          <w:szCs w:val="28"/>
        </w:rPr>
        <w:t xml:space="preserve">в течение года </w:t>
      </w:r>
      <w:r w:rsidR="00911B56">
        <w:rPr>
          <w:rFonts w:ascii="Times New Roman" w:hAnsi="Times New Roman"/>
          <w:sz w:val="28"/>
          <w:szCs w:val="28"/>
        </w:rPr>
        <w:t xml:space="preserve">(в 2013 году – 13 раз). </w:t>
      </w:r>
      <w:r w:rsidR="008A26A2">
        <w:rPr>
          <w:rFonts w:ascii="Times New Roman" w:hAnsi="Times New Roman"/>
          <w:sz w:val="28"/>
          <w:szCs w:val="28"/>
        </w:rPr>
        <w:t>П</w:t>
      </w:r>
      <w:r w:rsidR="00911B56">
        <w:rPr>
          <w:rFonts w:ascii="Times New Roman" w:hAnsi="Times New Roman"/>
          <w:sz w:val="28"/>
          <w:szCs w:val="28"/>
        </w:rPr>
        <w:t>оследний раз это происходит</w:t>
      </w:r>
      <w:r w:rsidR="00AD349A">
        <w:rPr>
          <w:rFonts w:ascii="Times New Roman" w:hAnsi="Times New Roman"/>
          <w:sz w:val="28"/>
          <w:szCs w:val="28"/>
        </w:rPr>
        <w:t>, как правило,</w:t>
      </w:r>
      <w:r w:rsidR="00911B56">
        <w:rPr>
          <w:rFonts w:ascii="Times New Roman" w:hAnsi="Times New Roman"/>
          <w:sz w:val="28"/>
          <w:szCs w:val="28"/>
        </w:rPr>
        <w:t xml:space="preserve"> в конце текущего года. Например, последний вариант бюджета 2013 года был принят Законодательным собранием 20 декабря 2013 года. Неудивительно, что исполнение бюджета </w:t>
      </w:r>
      <w:r w:rsidR="008A26A2">
        <w:rPr>
          <w:rFonts w:ascii="Times New Roman" w:hAnsi="Times New Roman"/>
          <w:sz w:val="28"/>
          <w:szCs w:val="28"/>
        </w:rPr>
        <w:t xml:space="preserve">по состоянию на 31 декабря 2013 года </w:t>
      </w:r>
      <w:r w:rsidR="00911B56">
        <w:rPr>
          <w:rFonts w:ascii="Times New Roman" w:hAnsi="Times New Roman"/>
          <w:sz w:val="28"/>
          <w:szCs w:val="28"/>
        </w:rPr>
        <w:t>почти по всем статьям расходов составляет от 95 до 98%.</w:t>
      </w:r>
    </w:p>
    <w:p w:rsidR="003A5376" w:rsidRDefault="00911B56" w:rsidP="00911B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Справедливости ради нужно отметить, что такой порядок утвержден федеральными документами</w:t>
      </w:r>
      <w:r w:rsidR="003A53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принят во всех регионах России. И работникам министерств финансов регионов и РФ</w:t>
      </w:r>
      <w:r w:rsidR="003A5376">
        <w:rPr>
          <w:rFonts w:ascii="Times New Roman" w:hAnsi="Times New Roman"/>
          <w:sz w:val="28"/>
          <w:szCs w:val="28"/>
        </w:rPr>
        <w:t xml:space="preserve"> этот порядок не кажется необычным, они в нем видят все, что им нужно для понимания процессов управления федеральными и областными деньгами. </w:t>
      </w:r>
      <w:r>
        <w:rPr>
          <w:rFonts w:ascii="Times New Roman" w:hAnsi="Times New Roman"/>
          <w:sz w:val="28"/>
          <w:szCs w:val="28"/>
        </w:rPr>
        <w:t>Но если правительства регионов реша</w:t>
      </w:r>
      <w:r w:rsidR="003A537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выносить бюджет на публичные слушания, то</w:t>
      </w:r>
      <w:r w:rsidR="003A5376">
        <w:rPr>
          <w:rFonts w:ascii="Times New Roman" w:hAnsi="Times New Roman"/>
          <w:sz w:val="28"/>
          <w:szCs w:val="28"/>
        </w:rPr>
        <w:t xml:space="preserve"> его </w:t>
      </w:r>
      <w:r w:rsidR="003A5376">
        <w:rPr>
          <w:rFonts w:ascii="Times New Roman" w:hAnsi="Times New Roman"/>
          <w:sz w:val="28"/>
          <w:szCs w:val="28"/>
        </w:rPr>
        <w:lastRenderedPageBreak/>
        <w:t xml:space="preserve">содержание должно </w:t>
      </w:r>
      <w:r w:rsidR="00AD349A">
        <w:rPr>
          <w:rFonts w:ascii="Times New Roman" w:hAnsi="Times New Roman"/>
          <w:sz w:val="28"/>
          <w:szCs w:val="28"/>
        </w:rPr>
        <w:t xml:space="preserve">быть понятным и для </w:t>
      </w:r>
      <w:r w:rsidR="003A5376">
        <w:rPr>
          <w:rFonts w:ascii="Times New Roman" w:hAnsi="Times New Roman"/>
          <w:sz w:val="28"/>
          <w:szCs w:val="28"/>
        </w:rPr>
        <w:t>граждан</w:t>
      </w:r>
      <w:r w:rsidR="00AD349A">
        <w:rPr>
          <w:rFonts w:ascii="Times New Roman" w:hAnsi="Times New Roman"/>
          <w:sz w:val="28"/>
          <w:szCs w:val="28"/>
        </w:rPr>
        <w:t>. В частности, граждане области должны получить возможность:</w:t>
      </w:r>
    </w:p>
    <w:p w:rsidR="003A5376" w:rsidRDefault="003A5376" w:rsidP="003A537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</w:t>
      </w:r>
      <w:r w:rsidR="00AD349A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AD349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запланированны</w:t>
      </w:r>
      <w:r w:rsidR="00AD34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исполненны</w:t>
      </w:r>
      <w:r w:rsidR="00AD34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годам, чтобы </w:t>
      </w:r>
      <w:r w:rsidR="00AD349A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видели динамику поступления разных доходов и динамику расходования бюджета, особенно по направлениям, которые для населения являются жизненно важными;</w:t>
      </w:r>
    </w:p>
    <w:p w:rsidR="003A5376" w:rsidRDefault="00AD349A" w:rsidP="003A537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увидеть </w:t>
      </w:r>
      <w:r w:rsidR="00395C62">
        <w:rPr>
          <w:rFonts w:ascii="Times New Roman" w:hAnsi="Times New Roman"/>
          <w:sz w:val="28"/>
          <w:szCs w:val="28"/>
        </w:rPr>
        <w:t>как сп</w:t>
      </w:r>
      <w:r w:rsidR="003A5376">
        <w:rPr>
          <w:rFonts w:ascii="Times New Roman" w:hAnsi="Times New Roman"/>
          <w:sz w:val="28"/>
          <w:szCs w:val="28"/>
        </w:rPr>
        <w:t>ланирован</w:t>
      </w:r>
      <w:r w:rsidR="00395C62">
        <w:rPr>
          <w:rFonts w:ascii="Times New Roman" w:hAnsi="Times New Roman"/>
          <w:sz w:val="28"/>
          <w:szCs w:val="28"/>
        </w:rPr>
        <w:t>ный</w:t>
      </w:r>
      <w:r w:rsidR="003A5376">
        <w:rPr>
          <w:rFonts w:ascii="Times New Roman" w:hAnsi="Times New Roman"/>
          <w:sz w:val="28"/>
          <w:szCs w:val="28"/>
        </w:rPr>
        <w:t xml:space="preserve"> бюджет </w:t>
      </w:r>
      <w:r w:rsidR="008A26A2">
        <w:rPr>
          <w:rFonts w:ascii="Times New Roman" w:hAnsi="Times New Roman"/>
          <w:sz w:val="28"/>
          <w:szCs w:val="28"/>
        </w:rPr>
        <w:t>2013</w:t>
      </w:r>
      <w:r w:rsidR="003A5376">
        <w:rPr>
          <w:rFonts w:ascii="Times New Roman" w:hAnsi="Times New Roman"/>
          <w:sz w:val="28"/>
          <w:szCs w:val="28"/>
        </w:rPr>
        <w:t xml:space="preserve"> года </w:t>
      </w:r>
      <w:r w:rsidR="008A26A2">
        <w:rPr>
          <w:rFonts w:ascii="Times New Roman" w:hAnsi="Times New Roman"/>
          <w:sz w:val="28"/>
          <w:szCs w:val="28"/>
        </w:rPr>
        <w:t xml:space="preserve">(утвержденный в декабре 2012 года) </w:t>
      </w:r>
      <w:r w:rsidR="00395C62">
        <w:rPr>
          <w:rFonts w:ascii="Times New Roman" w:hAnsi="Times New Roman"/>
          <w:sz w:val="28"/>
          <w:szCs w:val="28"/>
        </w:rPr>
        <w:t>соотносится с ре</w:t>
      </w:r>
      <w:r w:rsidR="008A26A2">
        <w:rPr>
          <w:rFonts w:ascii="Times New Roman" w:hAnsi="Times New Roman"/>
          <w:sz w:val="28"/>
          <w:szCs w:val="28"/>
        </w:rPr>
        <w:t>зультатами исполнения бюджета (по состоянию на 31 декабря 2013 года).</w:t>
      </w:r>
    </w:p>
    <w:p w:rsidR="00395C62" w:rsidRPr="0001609C" w:rsidRDefault="00395C62" w:rsidP="008A26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09C">
        <w:rPr>
          <w:rFonts w:ascii="Times New Roman" w:hAnsi="Times New Roman"/>
          <w:sz w:val="28"/>
          <w:szCs w:val="28"/>
        </w:rPr>
        <w:t xml:space="preserve">Давайте сравним предлагаемый к публичным слушаниям отчет по бюджету за 2013 год с планом бюджета на 2014 год в том виде, в котором он был утвержден депутатами заксобрания Амурской области в декабре 2013 года. </w:t>
      </w:r>
      <w:r w:rsidR="0024152B">
        <w:rPr>
          <w:rFonts w:ascii="Times New Roman" w:hAnsi="Times New Roman"/>
          <w:sz w:val="28"/>
          <w:szCs w:val="28"/>
        </w:rPr>
        <w:t>Как я отмечал</w:t>
      </w:r>
      <w:r w:rsidR="00AD349A">
        <w:rPr>
          <w:rFonts w:ascii="Times New Roman" w:hAnsi="Times New Roman"/>
          <w:sz w:val="28"/>
          <w:szCs w:val="28"/>
        </w:rPr>
        <w:t xml:space="preserve"> выше</w:t>
      </w:r>
      <w:r w:rsidR="0024152B">
        <w:rPr>
          <w:rFonts w:ascii="Times New Roman" w:hAnsi="Times New Roman"/>
          <w:sz w:val="28"/>
          <w:szCs w:val="28"/>
        </w:rPr>
        <w:t xml:space="preserve">, </w:t>
      </w:r>
      <w:r w:rsidR="00AD349A">
        <w:rPr>
          <w:rFonts w:ascii="Times New Roman" w:hAnsi="Times New Roman"/>
          <w:sz w:val="28"/>
          <w:szCs w:val="28"/>
        </w:rPr>
        <w:t>перечень</w:t>
      </w:r>
      <w:r w:rsidR="0024152B">
        <w:rPr>
          <w:rFonts w:ascii="Times New Roman" w:hAnsi="Times New Roman"/>
          <w:sz w:val="28"/>
          <w:szCs w:val="28"/>
        </w:rPr>
        <w:t xml:space="preserve"> плановых статей расходов отличается от списка фактических статей расходов.  Поэтому д</w:t>
      </w:r>
      <w:r w:rsidRPr="0001609C">
        <w:rPr>
          <w:rFonts w:ascii="Times New Roman" w:hAnsi="Times New Roman"/>
          <w:sz w:val="28"/>
          <w:szCs w:val="28"/>
        </w:rPr>
        <w:t>ля сравнения статей расходов план</w:t>
      </w:r>
      <w:r w:rsidR="0024152B">
        <w:rPr>
          <w:rFonts w:ascii="Times New Roman" w:hAnsi="Times New Roman"/>
          <w:sz w:val="28"/>
          <w:szCs w:val="28"/>
        </w:rPr>
        <w:t>ового</w:t>
      </w:r>
      <w:r w:rsidRPr="0001609C">
        <w:rPr>
          <w:rFonts w:ascii="Times New Roman" w:hAnsi="Times New Roman"/>
          <w:sz w:val="28"/>
          <w:szCs w:val="28"/>
        </w:rPr>
        <w:t xml:space="preserve"> бюджета </w:t>
      </w:r>
      <w:r w:rsidR="0024152B">
        <w:rPr>
          <w:rFonts w:ascii="Times New Roman" w:hAnsi="Times New Roman"/>
          <w:sz w:val="28"/>
          <w:szCs w:val="28"/>
        </w:rPr>
        <w:t xml:space="preserve">на </w:t>
      </w:r>
      <w:r w:rsidRPr="0001609C">
        <w:rPr>
          <w:rFonts w:ascii="Times New Roman" w:hAnsi="Times New Roman"/>
          <w:sz w:val="28"/>
          <w:szCs w:val="28"/>
        </w:rPr>
        <w:t xml:space="preserve">2014 года с итогами </w:t>
      </w:r>
      <w:r w:rsidR="0024152B">
        <w:rPr>
          <w:rFonts w:ascii="Times New Roman" w:hAnsi="Times New Roman"/>
          <w:sz w:val="28"/>
          <w:szCs w:val="28"/>
        </w:rPr>
        <w:t xml:space="preserve">расходования бюджета в </w:t>
      </w:r>
      <w:r w:rsidRPr="0001609C">
        <w:rPr>
          <w:rFonts w:ascii="Times New Roman" w:hAnsi="Times New Roman"/>
          <w:sz w:val="28"/>
          <w:szCs w:val="28"/>
        </w:rPr>
        <w:t>2013 год</w:t>
      </w:r>
      <w:r w:rsidR="0024152B">
        <w:rPr>
          <w:rFonts w:ascii="Times New Roman" w:hAnsi="Times New Roman"/>
          <w:sz w:val="28"/>
          <w:szCs w:val="28"/>
        </w:rPr>
        <w:t>у</w:t>
      </w:r>
      <w:r w:rsidRPr="0001609C">
        <w:rPr>
          <w:rFonts w:ascii="Times New Roman" w:hAnsi="Times New Roman"/>
          <w:sz w:val="28"/>
          <w:szCs w:val="28"/>
        </w:rPr>
        <w:t xml:space="preserve"> пришлось выбирать данные из Приложения №6 к Закону Амурской области о бюджете «Исполнение по разделам и подразделам классификации расходов бюджета за 2013 год»</w:t>
      </w:r>
      <w:r w:rsidR="00AD349A">
        <w:rPr>
          <w:rFonts w:ascii="Times New Roman" w:hAnsi="Times New Roman"/>
          <w:sz w:val="28"/>
          <w:szCs w:val="28"/>
        </w:rPr>
        <w:t>. Только тогда удалось</w:t>
      </w:r>
      <w:r w:rsidRPr="0001609C">
        <w:rPr>
          <w:rFonts w:ascii="Times New Roman" w:hAnsi="Times New Roman"/>
          <w:sz w:val="28"/>
          <w:szCs w:val="28"/>
        </w:rPr>
        <w:t xml:space="preserve"> определить</w:t>
      </w:r>
      <w:r w:rsidR="00AD349A">
        <w:rPr>
          <w:rFonts w:ascii="Times New Roman" w:hAnsi="Times New Roman"/>
          <w:sz w:val="28"/>
          <w:szCs w:val="28"/>
        </w:rPr>
        <w:t>,</w:t>
      </w:r>
      <w:r w:rsidRPr="0001609C">
        <w:rPr>
          <w:rFonts w:ascii="Times New Roman" w:hAnsi="Times New Roman"/>
          <w:sz w:val="28"/>
          <w:szCs w:val="28"/>
        </w:rPr>
        <w:t xml:space="preserve"> к каким целевым статьям расходов в плане 2014 они относятся. </w:t>
      </w:r>
      <w:r w:rsidR="00AD349A">
        <w:rPr>
          <w:rFonts w:ascii="Times New Roman" w:hAnsi="Times New Roman"/>
          <w:sz w:val="28"/>
          <w:szCs w:val="28"/>
        </w:rPr>
        <w:t>Что получилось, видно в таблице 1.</w:t>
      </w:r>
    </w:p>
    <w:p w:rsidR="00395C62" w:rsidRPr="0001609C" w:rsidRDefault="00395C62" w:rsidP="002415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09C">
        <w:rPr>
          <w:rFonts w:ascii="Times New Roman" w:hAnsi="Times New Roman"/>
          <w:sz w:val="28"/>
          <w:szCs w:val="28"/>
        </w:rPr>
        <w:t xml:space="preserve">Таблица </w:t>
      </w:r>
      <w:r w:rsidR="0024152B">
        <w:rPr>
          <w:rFonts w:ascii="Times New Roman" w:hAnsi="Times New Roman"/>
          <w:sz w:val="28"/>
          <w:szCs w:val="28"/>
        </w:rPr>
        <w:t>1</w:t>
      </w:r>
      <w:r w:rsidRPr="0001609C">
        <w:rPr>
          <w:rFonts w:ascii="Times New Roman" w:hAnsi="Times New Roman"/>
          <w:sz w:val="28"/>
          <w:szCs w:val="28"/>
        </w:rPr>
        <w:t>.  Распределение бюджетных ассигнований по целевым статьям как это принято в планах бюджетов области (в млн.рублей)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1559"/>
        <w:gridCol w:w="1559"/>
      </w:tblGrid>
      <w:tr w:rsidR="00395C62" w:rsidRPr="0001609C" w:rsidTr="00C0095B">
        <w:tc>
          <w:tcPr>
            <w:tcW w:w="67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395C62" w:rsidRPr="0001609C" w:rsidRDefault="00395C62" w:rsidP="00C00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2013 (факт)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2014 (план)</w:t>
            </w:r>
          </w:p>
        </w:tc>
      </w:tr>
      <w:tr w:rsidR="00395C62" w:rsidRPr="0001609C" w:rsidTr="00C0095B">
        <w:tc>
          <w:tcPr>
            <w:tcW w:w="67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4352,5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</w:tr>
      <w:tr w:rsidR="00395C62" w:rsidRPr="0001609C" w:rsidTr="00C0095B">
        <w:tc>
          <w:tcPr>
            <w:tcW w:w="67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5C62" w:rsidRPr="0024152B" w:rsidRDefault="00395C62" w:rsidP="00C009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52B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системы социальной защиты</w:t>
            </w:r>
          </w:p>
        </w:tc>
        <w:tc>
          <w:tcPr>
            <w:tcW w:w="1559" w:type="dxa"/>
          </w:tcPr>
          <w:p w:rsidR="00395C62" w:rsidRPr="0024152B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52B">
              <w:rPr>
                <w:rFonts w:ascii="Times New Roman" w:hAnsi="Times New Roman"/>
                <w:b/>
                <w:i/>
                <w:sz w:val="24"/>
                <w:szCs w:val="24"/>
              </w:rPr>
              <w:t>17511,5</w:t>
            </w:r>
          </w:p>
        </w:tc>
        <w:tc>
          <w:tcPr>
            <w:tcW w:w="1559" w:type="dxa"/>
          </w:tcPr>
          <w:p w:rsidR="00395C62" w:rsidRPr="0024152B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52B">
              <w:rPr>
                <w:rFonts w:ascii="Times New Roman" w:hAnsi="Times New Roman"/>
                <w:b/>
                <w:i/>
                <w:sz w:val="24"/>
                <w:szCs w:val="24"/>
              </w:rPr>
              <w:t>5937</w:t>
            </w:r>
          </w:p>
        </w:tc>
      </w:tr>
      <w:tr w:rsidR="00395C62" w:rsidRPr="0001609C" w:rsidTr="00C0095B">
        <w:tc>
          <w:tcPr>
            <w:tcW w:w="67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Развитие и сохранение культуры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444,9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395C62" w:rsidRPr="0001609C" w:rsidTr="00C0095B">
        <w:tc>
          <w:tcPr>
            <w:tcW w:w="67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395C62" w:rsidRPr="0001609C" w:rsidTr="00C0095B">
        <w:tc>
          <w:tcPr>
            <w:tcW w:w="67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Модернизация ЖКХ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7903,3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395C62" w:rsidRPr="0001609C" w:rsidTr="00C0095B">
        <w:tc>
          <w:tcPr>
            <w:tcW w:w="67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5C62" w:rsidRPr="0024152B" w:rsidRDefault="00395C62" w:rsidP="00C009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52B">
              <w:rPr>
                <w:rFonts w:ascii="Times New Roman" w:hAnsi="Times New Roman"/>
                <w:b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</w:tcPr>
          <w:p w:rsidR="00395C62" w:rsidRPr="0024152B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52B">
              <w:rPr>
                <w:rFonts w:ascii="Times New Roman" w:hAnsi="Times New Roman"/>
                <w:b/>
                <w:i/>
                <w:sz w:val="24"/>
                <w:szCs w:val="24"/>
              </w:rPr>
              <w:t>8463,7</w:t>
            </w:r>
          </w:p>
        </w:tc>
        <w:tc>
          <w:tcPr>
            <w:tcW w:w="1559" w:type="dxa"/>
          </w:tcPr>
          <w:p w:rsidR="00395C62" w:rsidRPr="0024152B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52B">
              <w:rPr>
                <w:rFonts w:ascii="Times New Roman" w:hAnsi="Times New Roman"/>
                <w:b/>
                <w:i/>
                <w:sz w:val="24"/>
                <w:szCs w:val="24"/>
              </w:rPr>
              <w:t>7400</w:t>
            </w:r>
          </w:p>
        </w:tc>
      </w:tr>
      <w:tr w:rsidR="00395C62" w:rsidRPr="0001609C" w:rsidTr="00C0095B">
        <w:tc>
          <w:tcPr>
            <w:tcW w:w="67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Обеспечение жильем населения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95C62" w:rsidRPr="0001609C" w:rsidTr="00C0095B">
        <w:tc>
          <w:tcPr>
            <w:tcW w:w="67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6955,6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</w:tr>
      <w:tr w:rsidR="00395C62" w:rsidRPr="0001609C" w:rsidTr="00C0095B">
        <w:tc>
          <w:tcPr>
            <w:tcW w:w="67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391,5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395C62" w:rsidRPr="0001609C" w:rsidTr="00C0095B">
        <w:tc>
          <w:tcPr>
            <w:tcW w:w="67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государственной власти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1388,5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6757</w:t>
            </w:r>
          </w:p>
        </w:tc>
      </w:tr>
      <w:tr w:rsidR="00395C62" w:rsidRPr="0001609C" w:rsidTr="00C0095B">
        <w:tc>
          <w:tcPr>
            <w:tcW w:w="67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Снижение рисков ЧС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1105,8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</w:tr>
      <w:tr w:rsidR="00395C62" w:rsidRPr="0001609C" w:rsidTr="00C0095B">
        <w:tc>
          <w:tcPr>
            <w:tcW w:w="67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5C62" w:rsidRPr="0024152B" w:rsidRDefault="00395C62" w:rsidP="00C009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52B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395C62" w:rsidRPr="0024152B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52B">
              <w:rPr>
                <w:rFonts w:ascii="Times New Roman" w:hAnsi="Times New Roman"/>
                <w:b/>
                <w:i/>
                <w:sz w:val="24"/>
                <w:szCs w:val="24"/>
              </w:rPr>
              <w:t>9762,2</w:t>
            </w:r>
          </w:p>
        </w:tc>
        <w:tc>
          <w:tcPr>
            <w:tcW w:w="1559" w:type="dxa"/>
          </w:tcPr>
          <w:p w:rsidR="00395C62" w:rsidRPr="0024152B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52B">
              <w:rPr>
                <w:rFonts w:ascii="Times New Roman" w:hAnsi="Times New Roman"/>
                <w:b/>
                <w:i/>
                <w:sz w:val="24"/>
                <w:szCs w:val="24"/>
              </w:rPr>
              <w:t>10714</w:t>
            </w:r>
          </w:p>
        </w:tc>
      </w:tr>
      <w:tr w:rsidR="00395C62" w:rsidRPr="0001609C" w:rsidTr="00C0095B">
        <w:tc>
          <w:tcPr>
            <w:tcW w:w="67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Транспортная система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6455,6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395C62" w:rsidRPr="0001609C" w:rsidTr="00C0095B">
        <w:tc>
          <w:tcPr>
            <w:tcW w:w="67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6855,6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395C62" w:rsidRPr="0001609C" w:rsidTr="00C0095B">
        <w:tc>
          <w:tcPr>
            <w:tcW w:w="67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5C62" w:rsidRPr="0001609C" w:rsidRDefault="00395C62" w:rsidP="00C00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9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9C">
              <w:rPr>
                <w:rFonts w:ascii="Times New Roman" w:hAnsi="Times New Roman"/>
                <w:b/>
                <w:sz w:val="24"/>
                <w:szCs w:val="24"/>
              </w:rPr>
              <w:t>71666</w:t>
            </w:r>
          </w:p>
        </w:tc>
        <w:tc>
          <w:tcPr>
            <w:tcW w:w="1559" w:type="dxa"/>
          </w:tcPr>
          <w:p w:rsidR="00395C62" w:rsidRPr="0001609C" w:rsidRDefault="00395C62" w:rsidP="00C00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9C">
              <w:rPr>
                <w:rFonts w:ascii="Times New Roman" w:hAnsi="Times New Roman"/>
                <w:b/>
                <w:sz w:val="24"/>
                <w:szCs w:val="24"/>
              </w:rPr>
              <w:t>40591</w:t>
            </w:r>
          </w:p>
        </w:tc>
      </w:tr>
    </w:tbl>
    <w:p w:rsidR="00AD349A" w:rsidRDefault="00AD349A" w:rsidP="00395C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52B" w:rsidRDefault="00395C62" w:rsidP="00395C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09C">
        <w:rPr>
          <w:rFonts w:ascii="Times New Roman" w:hAnsi="Times New Roman"/>
          <w:sz w:val="28"/>
          <w:szCs w:val="28"/>
        </w:rPr>
        <w:t>Сравнение данных подтверждает наш вывод о том, что планирование бюджета региона ведется не от фактического состояния социально-экономического развития за прошлые периоды, а основыва</w:t>
      </w:r>
      <w:r w:rsidR="00AD349A">
        <w:rPr>
          <w:rFonts w:ascii="Times New Roman" w:hAnsi="Times New Roman"/>
          <w:sz w:val="28"/>
          <w:szCs w:val="28"/>
        </w:rPr>
        <w:t>ется на других принципах</w:t>
      </w:r>
      <w:r w:rsidRPr="0001609C">
        <w:rPr>
          <w:rFonts w:ascii="Times New Roman" w:hAnsi="Times New Roman"/>
          <w:sz w:val="28"/>
          <w:szCs w:val="28"/>
        </w:rPr>
        <w:t xml:space="preserve">, вероятно,  на задачах </w:t>
      </w:r>
      <w:r w:rsidR="0024152B">
        <w:rPr>
          <w:rFonts w:ascii="Times New Roman" w:hAnsi="Times New Roman"/>
          <w:sz w:val="28"/>
          <w:szCs w:val="28"/>
        </w:rPr>
        <w:t>«</w:t>
      </w:r>
      <w:r w:rsidRPr="0001609C">
        <w:rPr>
          <w:rFonts w:ascii="Times New Roman" w:hAnsi="Times New Roman"/>
          <w:sz w:val="28"/>
          <w:szCs w:val="28"/>
        </w:rPr>
        <w:t>выбивания</w:t>
      </w:r>
      <w:r w:rsidR="0024152B">
        <w:rPr>
          <w:rFonts w:ascii="Times New Roman" w:hAnsi="Times New Roman"/>
          <w:sz w:val="28"/>
          <w:szCs w:val="28"/>
        </w:rPr>
        <w:t>»</w:t>
      </w:r>
      <w:r w:rsidRPr="0001609C">
        <w:rPr>
          <w:rFonts w:ascii="Times New Roman" w:hAnsi="Times New Roman"/>
          <w:sz w:val="28"/>
          <w:szCs w:val="28"/>
        </w:rPr>
        <w:t xml:space="preserve"> средств из федерального бюджета. </w:t>
      </w:r>
    </w:p>
    <w:p w:rsidR="0024152B" w:rsidRDefault="00395C62" w:rsidP="00395C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09C">
        <w:rPr>
          <w:rFonts w:ascii="Times New Roman" w:hAnsi="Times New Roman"/>
          <w:sz w:val="28"/>
          <w:szCs w:val="28"/>
        </w:rPr>
        <w:t xml:space="preserve">Это еще раз подтверждает вывод о том, что проекты бюджетов будущих периодов составляются формально. Однако вести учет и сравнение плановых и фактических годовых показателей бюджета в одном формате необходимо. Из таблицы </w:t>
      </w:r>
      <w:r w:rsidR="0024152B">
        <w:rPr>
          <w:rFonts w:ascii="Times New Roman" w:hAnsi="Times New Roman"/>
          <w:sz w:val="28"/>
          <w:szCs w:val="28"/>
        </w:rPr>
        <w:t>1</w:t>
      </w:r>
      <w:r w:rsidRPr="0001609C">
        <w:rPr>
          <w:rFonts w:ascii="Times New Roman" w:hAnsi="Times New Roman"/>
          <w:sz w:val="28"/>
          <w:szCs w:val="28"/>
        </w:rPr>
        <w:t xml:space="preserve"> видно, что более корректно используются цифры расходов, </w:t>
      </w:r>
      <w:r w:rsidR="0024152B">
        <w:rPr>
          <w:rFonts w:ascii="Times New Roman" w:hAnsi="Times New Roman"/>
          <w:sz w:val="28"/>
          <w:szCs w:val="28"/>
        </w:rPr>
        <w:t>которые идут на так называемые «защищенные» статьи – образование, здравоохранение и социальную сферу</w:t>
      </w:r>
      <w:r w:rsidR="00AD349A">
        <w:rPr>
          <w:rFonts w:ascii="Times New Roman" w:hAnsi="Times New Roman"/>
          <w:sz w:val="28"/>
          <w:szCs w:val="28"/>
        </w:rPr>
        <w:t xml:space="preserve"> и</w:t>
      </w:r>
      <w:r w:rsidRPr="0001609C">
        <w:rPr>
          <w:rFonts w:ascii="Times New Roman" w:hAnsi="Times New Roman"/>
          <w:sz w:val="28"/>
          <w:szCs w:val="28"/>
        </w:rPr>
        <w:t xml:space="preserve"> </w:t>
      </w:r>
      <w:r w:rsidR="00AD349A" w:rsidRPr="0001609C">
        <w:rPr>
          <w:rFonts w:ascii="Times New Roman" w:hAnsi="Times New Roman"/>
          <w:sz w:val="28"/>
          <w:szCs w:val="28"/>
        </w:rPr>
        <w:t>которые планируется запросить или получить из федерального бюджета</w:t>
      </w:r>
      <w:r w:rsidR="00AD349A">
        <w:rPr>
          <w:rFonts w:ascii="Times New Roman" w:hAnsi="Times New Roman"/>
          <w:sz w:val="28"/>
          <w:szCs w:val="28"/>
        </w:rPr>
        <w:t>.</w:t>
      </w:r>
    </w:p>
    <w:p w:rsidR="0024152B" w:rsidRPr="00472E0D" w:rsidRDefault="00AD349A" w:rsidP="00395C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152B">
        <w:rPr>
          <w:rFonts w:ascii="Times New Roman" w:hAnsi="Times New Roman"/>
          <w:sz w:val="28"/>
          <w:szCs w:val="28"/>
        </w:rPr>
        <w:t xml:space="preserve"> развитых рыночных экономиках все статьи расходов даются с детальной расшифровкой. Ссылаться на западный опыт можно, поскольку сама идея трехлетнего бюджетирования взята оттуда. Вз</w:t>
      </w:r>
      <w:r w:rsidR="00472E0D">
        <w:rPr>
          <w:rFonts w:ascii="Times New Roman" w:hAnsi="Times New Roman"/>
          <w:sz w:val="28"/>
          <w:szCs w:val="28"/>
        </w:rPr>
        <w:t>я</w:t>
      </w:r>
      <w:r w:rsidR="0024152B">
        <w:rPr>
          <w:rFonts w:ascii="Times New Roman" w:hAnsi="Times New Roman"/>
          <w:sz w:val="28"/>
          <w:szCs w:val="28"/>
        </w:rPr>
        <w:t>та, но не понята</w:t>
      </w:r>
      <w:r w:rsidR="00472E0D">
        <w:rPr>
          <w:rFonts w:ascii="Times New Roman" w:hAnsi="Times New Roman"/>
          <w:sz w:val="28"/>
          <w:szCs w:val="28"/>
        </w:rPr>
        <w:t>,</w:t>
      </w:r>
      <w:r w:rsidR="0024152B">
        <w:rPr>
          <w:rFonts w:ascii="Times New Roman" w:hAnsi="Times New Roman"/>
          <w:sz w:val="28"/>
          <w:szCs w:val="28"/>
        </w:rPr>
        <w:t xml:space="preserve"> и не осмыслена. Поэтому мы и видим из вышеприведенной таблицы, что план</w:t>
      </w:r>
      <w:r>
        <w:rPr>
          <w:rFonts w:ascii="Times New Roman" w:hAnsi="Times New Roman"/>
          <w:sz w:val="28"/>
          <w:szCs w:val="28"/>
        </w:rPr>
        <w:t xml:space="preserve"> 20143 года совершенно не отражает сложившиеся потребности в финансах в 2013 году. </w:t>
      </w:r>
      <w:r w:rsidR="00FA7ACC">
        <w:rPr>
          <w:rFonts w:ascii="Times New Roman" w:hAnsi="Times New Roman"/>
          <w:sz w:val="28"/>
          <w:szCs w:val="28"/>
        </w:rPr>
        <w:t>Такое невозможно. Следовательно плани</w:t>
      </w:r>
      <w:r w:rsidR="0024152B">
        <w:rPr>
          <w:rFonts w:ascii="Times New Roman" w:hAnsi="Times New Roman"/>
          <w:sz w:val="28"/>
          <w:szCs w:val="28"/>
        </w:rPr>
        <w:t xml:space="preserve">рование ведется формально. </w:t>
      </w:r>
      <w:r w:rsidR="00472E0D">
        <w:rPr>
          <w:rFonts w:ascii="Times New Roman" w:hAnsi="Times New Roman"/>
          <w:sz w:val="28"/>
          <w:szCs w:val="28"/>
        </w:rPr>
        <w:t xml:space="preserve">Читая отчеты о деятельности министерств и управлений понятно, что более миллиарда рублей </w:t>
      </w:r>
      <w:r w:rsidR="00FA7ACC">
        <w:rPr>
          <w:rFonts w:ascii="Times New Roman" w:hAnsi="Times New Roman"/>
          <w:sz w:val="28"/>
          <w:szCs w:val="28"/>
        </w:rPr>
        <w:t>отпущенные на целевую программу</w:t>
      </w:r>
      <w:r w:rsidR="00472E0D">
        <w:rPr>
          <w:rFonts w:ascii="Times New Roman" w:hAnsi="Times New Roman"/>
          <w:sz w:val="28"/>
          <w:szCs w:val="28"/>
        </w:rPr>
        <w:t xml:space="preserve"> «</w:t>
      </w:r>
      <w:r w:rsidR="00472E0D" w:rsidRPr="00472E0D">
        <w:rPr>
          <w:rFonts w:ascii="Times New Roman" w:hAnsi="Times New Roman"/>
          <w:sz w:val="28"/>
          <w:szCs w:val="28"/>
        </w:rPr>
        <w:t>Повышени</w:t>
      </w:r>
      <w:r w:rsidR="00FA7ACC">
        <w:rPr>
          <w:rFonts w:ascii="Times New Roman" w:hAnsi="Times New Roman"/>
          <w:sz w:val="28"/>
          <w:szCs w:val="28"/>
        </w:rPr>
        <w:t>е</w:t>
      </w:r>
      <w:r w:rsidR="00472E0D" w:rsidRPr="00472E0D">
        <w:rPr>
          <w:rFonts w:ascii="Times New Roman" w:hAnsi="Times New Roman"/>
          <w:sz w:val="28"/>
          <w:szCs w:val="28"/>
        </w:rPr>
        <w:t xml:space="preserve"> эффективности деятельности органов государственной власти» ушли </w:t>
      </w:r>
      <w:r w:rsidR="00FA7ACC">
        <w:rPr>
          <w:rFonts w:ascii="Times New Roman" w:hAnsi="Times New Roman"/>
          <w:sz w:val="28"/>
          <w:szCs w:val="28"/>
        </w:rPr>
        <w:t xml:space="preserve">не на рост эффективности управления, а </w:t>
      </w:r>
      <w:r w:rsidR="00472E0D" w:rsidRPr="00472E0D">
        <w:rPr>
          <w:rFonts w:ascii="Times New Roman" w:hAnsi="Times New Roman"/>
          <w:sz w:val="28"/>
          <w:szCs w:val="28"/>
        </w:rPr>
        <w:t>на повышение зарплаты в ведомства</w:t>
      </w:r>
      <w:r w:rsidR="00C07844">
        <w:rPr>
          <w:rFonts w:ascii="Times New Roman" w:hAnsi="Times New Roman"/>
          <w:sz w:val="28"/>
          <w:szCs w:val="28"/>
        </w:rPr>
        <w:t>х</w:t>
      </w:r>
      <w:r w:rsidR="00472E0D" w:rsidRPr="00472E0D">
        <w:rPr>
          <w:rFonts w:ascii="Times New Roman" w:hAnsi="Times New Roman"/>
          <w:sz w:val="28"/>
          <w:szCs w:val="28"/>
        </w:rPr>
        <w:t>. Согласно отчетам, средняя зарплата в них составляет от 41 до 5</w:t>
      </w:r>
      <w:r w:rsidR="006F4B70">
        <w:rPr>
          <w:rFonts w:ascii="Times New Roman" w:hAnsi="Times New Roman"/>
          <w:sz w:val="28"/>
          <w:szCs w:val="28"/>
        </w:rPr>
        <w:t>1</w:t>
      </w:r>
      <w:r w:rsidR="00472E0D" w:rsidRPr="00472E0D">
        <w:rPr>
          <w:rFonts w:ascii="Times New Roman" w:hAnsi="Times New Roman"/>
          <w:sz w:val="28"/>
          <w:szCs w:val="28"/>
        </w:rPr>
        <w:t xml:space="preserve"> тысяч рублей в месяц. При</w:t>
      </w:r>
      <w:r w:rsidR="00FA7ACC">
        <w:rPr>
          <w:rFonts w:ascii="Times New Roman" w:hAnsi="Times New Roman"/>
          <w:sz w:val="28"/>
          <w:szCs w:val="28"/>
        </w:rPr>
        <w:t xml:space="preserve"> </w:t>
      </w:r>
      <w:r w:rsidR="00472E0D" w:rsidRPr="00472E0D">
        <w:rPr>
          <w:rFonts w:ascii="Times New Roman" w:hAnsi="Times New Roman"/>
          <w:sz w:val="28"/>
          <w:szCs w:val="28"/>
        </w:rPr>
        <w:t>том, что средняя зарплата в Амурской области не превышает 28 тысяч рублей</w:t>
      </w:r>
      <w:r w:rsidR="00FA7ACC">
        <w:rPr>
          <w:rFonts w:ascii="Times New Roman" w:hAnsi="Times New Roman"/>
          <w:sz w:val="28"/>
          <w:szCs w:val="28"/>
        </w:rPr>
        <w:t xml:space="preserve"> в месяц</w:t>
      </w:r>
      <w:r w:rsidR="00472E0D" w:rsidRPr="00472E0D">
        <w:rPr>
          <w:rFonts w:ascii="Times New Roman" w:hAnsi="Times New Roman"/>
          <w:sz w:val="28"/>
          <w:szCs w:val="28"/>
        </w:rPr>
        <w:t>.</w:t>
      </w:r>
    </w:p>
    <w:p w:rsidR="00472E0D" w:rsidRDefault="00472E0D" w:rsidP="00395C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все усилия власти направлены </w:t>
      </w:r>
      <w:r w:rsidR="00FA7ACC">
        <w:rPr>
          <w:rFonts w:ascii="Times New Roman" w:hAnsi="Times New Roman"/>
          <w:sz w:val="28"/>
          <w:szCs w:val="28"/>
        </w:rPr>
        <w:t xml:space="preserve">в основном </w:t>
      </w:r>
      <w:r>
        <w:rPr>
          <w:rFonts w:ascii="Times New Roman" w:hAnsi="Times New Roman"/>
          <w:sz w:val="28"/>
          <w:szCs w:val="28"/>
        </w:rPr>
        <w:t xml:space="preserve">на распределение поступающих в регион средств, как собственных налоговых и неналоговых поступлений, так и средств федерального центра. Поскольку четкого плана </w:t>
      </w:r>
      <w:r w:rsidR="00FA7ACC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>нет, поэтому и приходится пересматривать бюджет каждый месяц.</w:t>
      </w:r>
    </w:p>
    <w:p w:rsidR="00472E0D" w:rsidRDefault="00472E0D" w:rsidP="00472E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отчетов 2012 и 2013 года показывает, что порядок цифр </w:t>
      </w:r>
      <w:r w:rsidR="00FA7ACC">
        <w:rPr>
          <w:rFonts w:ascii="Times New Roman" w:hAnsi="Times New Roman"/>
          <w:sz w:val="28"/>
          <w:szCs w:val="28"/>
        </w:rPr>
        <w:t xml:space="preserve">по разным статьям расходов </w:t>
      </w:r>
      <w:r>
        <w:rPr>
          <w:rFonts w:ascii="Times New Roman" w:hAnsi="Times New Roman"/>
          <w:sz w:val="28"/>
          <w:szCs w:val="28"/>
        </w:rPr>
        <w:t xml:space="preserve">выдерживается. Это говорит о том, что определенные приоритеты в развитии социально-экономической жизни региона у правительства есть. Однако сравнение </w:t>
      </w:r>
      <w:r w:rsidR="00FA7ACC">
        <w:rPr>
          <w:rFonts w:ascii="Times New Roman" w:hAnsi="Times New Roman"/>
          <w:sz w:val="28"/>
          <w:szCs w:val="28"/>
        </w:rPr>
        <w:t xml:space="preserve">результатов исполнения бюджетов 2012 и 2013 годов </w:t>
      </w:r>
      <w:r>
        <w:rPr>
          <w:rFonts w:ascii="Times New Roman" w:hAnsi="Times New Roman"/>
          <w:sz w:val="28"/>
          <w:szCs w:val="28"/>
        </w:rPr>
        <w:t>некорректно по многим статьям, поскольку н</w:t>
      </w:r>
      <w:r w:rsidRPr="0001609C">
        <w:rPr>
          <w:rFonts w:ascii="Times New Roman" w:hAnsi="Times New Roman"/>
          <w:sz w:val="28"/>
          <w:szCs w:val="28"/>
        </w:rPr>
        <w:t>еправильным является включение дополнительных средств на ликвидацию последствий наводнения в общий отчет по бюджету</w:t>
      </w:r>
      <w:r w:rsidR="00FA7ACC">
        <w:rPr>
          <w:rFonts w:ascii="Times New Roman" w:hAnsi="Times New Roman"/>
          <w:sz w:val="28"/>
          <w:szCs w:val="28"/>
        </w:rPr>
        <w:t>, полученных из Москвы</w:t>
      </w:r>
      <w:r w:rsidRPr="0001609C">
        <w:rPr>
          <w:rFonts w:ascii="Times New Roman" w:hAnsi="Times New Roman"/>
          <w:sz w:val="28"/>
          <w:szCs w:val="28"/>
        </w:rPr>
        <w:t>. Это искажает данные о состоянии экономики региона,  и будет мешать планированию бюджета следующего года.</w:t>
      </w:r>
    </w:p>
    <w:p w:rsidR="0071573A" w:rsidRDefault="0071573A" w:rsidP="00472E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 2 видно, что главными приоритетами по государственной поддержке являются социальная политика, жилищно-коммунальное хозяйство и национальная экономика, в том числе сельское хозяйство и дорожное строительство. Очевидно, что и в 2013 году бюджет Амурской области имел ярко выраженную социальную направленность.</w:t>
      </w:r>
    </w:p>
    <w:p w:rsidR="006A7060" w:rsidRDefault="006A7060" w:rsidP="0071573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76" w:rsidRPr="0001609C" w:rsidRDefault="003A5376" w:rsidP="007157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09C">
        <w:rPr>
          <w:rFonts w:ascii="Times New Roman" w:hAnsi="Times New Roman"/>
          <w:sz w:val="28"/>
          <w:szCs w:val="28"/>
        </w:rPr>
        <w:t>Таблица 2. Исполнение по разделам классификации расходов бюджета области за 2012 и 2013 годы (в млн.рублей)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1559"/>
        <w:gridCol w:w="1559"/>
      </w:tblGrid>
      <w:tr w:rsidR="003A5376" w:rsidRPr="0001609C" w:rsidTr="00C0095B">
        <w:tc>
          <w:tcPr>
            <w:tcW w:w="675" w:type="dxa"/>
          </w:tcPr>
          <w:p w:rsidR="003A5376" w:rsidRPr="0001609C" w:rsidRDefault="003A5376" w:rsidP="00C00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3A5376" w:rsidRPr="0001609C" w:rsidRDefault="003A5376" w:rsidP="00C00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A5376" w:rsidRPr="0001609C" w:rsidTr="00C0095B">
        <w:tc>
          <w:tcPr>
            <w:tcW w:w="67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1365,4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1361,5</w:t>
            </w:r>
          </w:p>
        </w:tc>
      </w:tr>
      <w:tr w:rsidR="003A5376" w:rsidRPr="0001609C" w:rsidTr="00C0095B">
        <w:tc>
          <w:tcPr>
            <w:tcW w:w="67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3A5376" w:rsidRPr="0001609C" w:rsidTr="00C0095B">
        <w:tc>
          <w:tcPr>
            <w:tcW w:w="67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Нацбезопасность и правоохранительная деят.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883,5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1105,8</w:t>
            </w:r>
          </w:p>
        </w:tc>
      </w:tr>
      <w:tr w:rsidR="003A5376" w:rsidRPr="0001609C" w:rsidTr="00C0095B">
        <w:tc>
          <w:tcPr>
            <w:tcW w:w="67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Национальная экономика, в том числе: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10010,3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17763,7</w:t>
            </w:r>
          </w:p>
        </w:tc>
      </w:tr>
      <w:tr w:rsidR="003A5376" w:rsidRPr="0001609C" w:rsidTr="00C0095B">
        <w:tc>
          <w:tcPr>
            <w:tcW w:w="67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5376" w:rsidRPr="0071573A" w:rsidRDefault="003A5376" w:rsidP="00C0095B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71573A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559" w:type="dxa"/>
          </w:tcPr>
          <w:p w:rsidR="003A5376" w:rsidRPr="0071573A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573A">
              <w:rPr>
                <w:rFonts w:ascii="Times New Roman" w:hAnsi="Times New Roman"/>
              </w:rPr>
              <w:t>2187,3</w:t>
            </w:r>
          </w:p>
        </w:tc>
        <w:tc>
          <w:tcPr>
            <w:tcW w:w="1559" w:type="dxa"/>
          </w:tcPr>
          <w:p w:rsidR="003A5376" w:rsidRPr="0071573A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573A">
              <w:rPr>
                <w:rFonts w:ascii="Times New Roman" w:hAnsi="Times New Roman"/>
              </w:rPr>
              <w:t>4352,5</w:t>
            </w:r>
          </w:p>
        </w:tc>
      </w:tr>
      <w:tr w:rsidR="003A5376" w:rsidRPr="0001609C" w:rsidTr="00C0095B">
        <w:tc>
          <w:tcPr>
            <w:tcW w:w="67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5376" w:rsidRPr="0071573A" w:rsidRDefault="003A5376" w:rsidP="00C0095B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71573A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559" w:type="dxa"/>
          </w:tcPr>
          <w:p w:rsidR="003A5376" w:rsidRPr="0071573A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573A">
              <w:rPr>
                <w:rFonts w:ascii="Times New Roman" w:hAnsi="Times New Roman"/>
              </w:rPr>
              <w:t>429,2</w:t>
            </w:r>
          </w:p>
        </w:tc>
        <w:tc>
          <w:tcPr>
            <w:tcW w:w="1559" w:type="dxa"/>
          </w:tcPr>
          <w:p w:rsidR="003A5376" w:rsidRPr="0071573A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573A">
              <w:rPr>
                <w:rFonts w:ascii="Times New Roman" w:hAnsi="Times New Roman"/>
              </w:rPr>
              <w:t>213,6</w:t>
            </w:r>
          </w:p>
        </w:tc>
      </w:tr>
      <w:tr w:rsidR="003A5376" w:rsidRPr="0001609C" w:rsidTr="00C0095B">
        <w:tc>
          <w:tcPr>
            <w:tcW w:w="67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5376" w:rsidRPr="0071573A" w:rsidRDefault="003A5376" w:rsidP="00C0095B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71573A">
              <w:rPr>
                <w:rFonts w:ascii="Times New Roman" w:hAnsi="Times New Roman"/>
              </w:rPr>
              <w:t>Дорожное хозяйство (фонды)</w:t>
            </w:r>
          </w:p>
        </w:tc>
        <w:tc>
          <w:tcPr>
            <w:tcW w:w="1559" w:type="dxa"/>
          </w:tcPr>
          <w:p w:rsidR="003A5376" w:rsidRPr="0071573A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573A">
              <w:rPr>
                <w:rFonts w:ascii="Times New Roman" w:hAnsi="Times New Roman"/>
              </w:rPr>
              <w:t>3117,5</w:t>
            </w:r>
          </w:p>
        </w:tc>
        <w:tc>
          <w:tcPr>
            <w:tcW w:w="1559" w:type="dxa"/>
          </w:tcPr>
          <w:p w:rsidR="003A5376" w:rsidRPr="0071573A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573A">
              <w:rPr>
                <w:rFonts w:ascii="Times New Roman" w:hAnsi="Times New Roman"/>
              </w:rPr>
              <w:t>6242,0</w:t>
            </w:r>
          </w:p>
        </w:tc>
      </w:tr>
      <w:tr w:rsidR="003A5376" w:rsidRPr="0001609C" w:rsidTr="00C0095B">
        <w:tc>
          <w:tcPr>
            <w:tcW w:w="67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6204,4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7903,3</w:t>
            </w:r>
          </w:p>
        </w:tc>
      </w:tr>
      <w:tr w:rsidR="003A5376" w:rsidRPr="0001609C" w:rsidTr="00C0095B">
        <w:tc>
          <w:tcPr>
            <w:tcW w:w="67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</w:tr>
      <w:tr w:rsidR="003A5376" w:rsidRPr="0001609C" w:rsidTr="00C0095B">
        <w:tc>
          <w:tcPr>
            <w:tcW w:w="67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8688,5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9762,2</w:t>
            </w:r>
          </w:p>
        </w:tc>
      </w:tr>
      <w:tr w:rsidR="003A5376" w:rsidRPr="0001609C" w:rsidTr="00C0095B">
        <w:tc>
          <w:tcPr>
            <w:tcW w:w="67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444,9</w:t>
            </w:r>
          </w:p>
        </w:tc>
      </w:tr>
      <w:tr w:rsidR="003A5376" w:rsidRPr="0001609C" w:rsidTr="00C0095B">
        <w:tc>
          <w:tcPr>
            <w:tcW w:w="67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9495,1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8463,7</w:t>
            </w:r>
          </w:p>
        </w:tc>
      </w:tr>
      <w:tr w:rsidR="003A5376" w:rsidRPr="0001609C" w:rsidTr="00C0095B">
        <w:tc>
          <w:tcPr>
            <w:tcW w:w="67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10091,4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17511,5</w:t>
            </w:r>
          </w:p>
        </w:tc>
      </w:tr>
      <w:tr w:rsidR="003A5376" w:rsidRPr="0001609C" w:rsidTr="00C0095B">
        <w:tc>
          <w:tcPr>
            <w:tcW w:w="67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281,2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391,5</w:t>
            </w:r>
          </w:p>
        </w:tc>
      </w:tr>
      <w:tr w:rsidR="003A5376" w:rsidRPr="0001609C" w:rsidTr="00C0095B">
        <w:tc>
          <w:tcPr>
            <w:tcW w:w="67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3A5376" w:rsidRPr="0001609C" w:rsidTr="00C0095B">
        <w:tc>
          <w:tcPr>
            <w:tcW w:w="67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3526,1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09C">
              <w:rPr>
                <w:rFonts w:ascii="Times New Roman" w:hAnsi="Times New Roman"/>
                <w:sz w:val="24"/>
                <w:szCs w:val="24"/>
              </w:rPr>
              <w:t>6758,8</w:t>
            </w:r>
          </w:p>
        </w:tc>
      </w:tr>
      <w:tr w:rsidR="003A5376" w:rsidRPr="0001609C" w:rsidTr="00C0095B">
        <w:tc>
          <w:tcPr>
            <w:tcW w:w="675" w:type="dxa"/>
          </w:tcPr>
          <w:p w:rsidR="003A5376" w:rsidRPr="0001609C" w:rsidRDefault="003A5376" w:rsidP="00C0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5376" w:rsidRPr="0001609C" w:rsidRDefault="003A5376" w:rsidP="00C009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1609C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9C">
              <w:rPr>
                <w:rFonts w:ascii="Times New Roman" w:hAnsi="Times New Roman"/>
                <w:b/>
                <w:sz w:val="24"/>
                <w:szCs w:val="24"/>
              </w:rPr>
              <w:t>51108,1</w:t>
            </w:r>
          </w:p>
        </w:tc>
        <w:tc>
          <w:tcPr>
            <w:tcW w:w="1559" w:type="dxa"/>
          </w:tcPr>
          <w:p w:rsidR="003A5376" w:rsidRPr="0001609C" w:rsidRDefault="003A5376" w:rsidP="00C00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9C">
              <w:rPr>
                <w:rFonts w:ascii="Times New Roman" w:hAnsi="Times New Roman"/>
                <w:b/>
                <w:sz w:val="24"/>
                <w:szCs w:val="24"/>
              </w:rPr>
              <w:t>71665,9</w:t>
            </w:r>
          </w:p>
        </w:tc>
      </w:tr>
    </w:tbl>
    <w:p w:rsidR="006A7060" w:rsidRDefault="006A7060" w:rsidP="0071573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7F3" w:rsidRDefault="0071573A" w:rsidP="007157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в Амурской области собственные налоговые и неналоговые доходы редко когда превышают 50% поступлений в консо</w:t>
      </w:r>
      <w:r w:rsidR="00827669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дированный бюджет области. Это говорит о слабости нашей экономики. </w:t>
      </w:r>
    </w:p>
    <w:p w:rsidR="0071573A" w:rsidRPr="0001609C" w:rsidRDefault="0071573A" w:rsidP="007157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из таблицы 3 и рисунка 1 видно, что </w:t>
      </w:r>
      <w:r w:rsidR="00FA7ACC">
        <w:rPr>
          <w:rFonts w:ascii="Times New Roman" w:hAnsi="Times New Roman"/>
          <w:sz w:val="28"/>
          <w:szCs w:val="28"/>
        </w:rPr>
        <w:t>продуктивность</w:t>
      </w:r>
      <w:r>
        <w:rPr>
          <w:rFonts w:ascii="Times New Roman" w:hAnsi="Times New Roman"/>
          <w:sz w:val="28"/>
          <w:szCs w:val="28"/>
        </w:rPr>
        <w:t xml:space="preserve"> деятельности существующих предприятий в Амурской области </w:t>
      </w:r>
      <w:r w:rsidR="00FA7ACC">
        <w:rPr>
          <w:rFonts w:ascii="Times New Roman" w:hAnsi="Times New Roman"/>
          <w:sz w:val="28"/>
          <w:szCs w:val="28"/>
        </w:rPr>
        <w:t>снижается</w:t>
      </w:r>
      <w:r>
        <w:rPr>
          <w:rFonts w:ascii="Times New Roman" w:hAnsi="Times New Roman"/>
          <w:sz w:val="28"/>
          <w:szCs w:val="28"/>
        </w:rPr>
        <w:t xml:space="preserve"> после</w:t>
      </w:r>
      <w:r w:rsidR="0082766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ние два года. Снижаются доходы по налогу на прибыль предприятий. Странные вещи происходят с налогом на доходы с физических лиц</w:t>
      </w:r>
      <w:r w:rsidR="00827669">
        <w:rPr>
          <w:rFonts w:ascii="Times New Roman" w:hAnsi="Times New Roman"/>
          <w:sz w:val="28"/>
          <w:szCs w:val="28"/>
        </w:rPr>
        <w:t xml:space="preserve"> (НДФЛ)</w:t>
      </w:r>
      <w:r>
        <w:rPr>
          <w:rFonts w:ascii="Times New Roman" w:hAnsi="Times New Roman"/>
          <w:sz w:val="28"/>
          <w:szCs w:val="28"/>
        </w:rPr>
        <w:t>. Они упали в 2012 году на 4 млрд.рублей</w:t>
      </w:r>
      <w:r w:rsidR="00827669">
        <w:rPr>
          <w:rFonts w:ascii="Times New Roman" w:hAnsi="Times New Roman"/>
          <w:sz w:val="28"/>
          <w:szCs w:val="28"/>
        </w:rPr>
        <w:t xml:space="preserve"> и теперь растут очень низкими темпами. По данным областной налоговой инспекции в 2012 году </w:t>
      </w:r>
      <w:r w:rsidR="00FA7ACC">
        <w:rPr>
          <w:rFonts w:ascii="Times New Roman" w:hAnsi="Times New Roman"/>
          <w:sz w:val="28"/>
          <w:szCs w:val="28"/>
        </w:rPr>
        <w:t xml:space="preserve">область получила </w:t>
      </w:r>
      <w:r w:rsidR="00827669">
        <w:rPr>
          <w:rFonts w:ascii="Times New Roman" w:hAnsi="Times New Roman"/>
          <w:sz w:val="28"/>
          <w:szCs w:val="28"/>
        </w:rPr>
        <w:t>НДФЛ в объеме 13,4 млрд.рублей. Но сумма НДФЛ</w:t>
      </w:r>
      <w:r w:rsidR="00FA7ACC">
        <w:rPr>
          <w:rFonts w:ascii="Times New Roman" w:hAnsi="Times New Roman"/>
          <w:sz w:val="28"/>
          <w:szCs w:val="28"/>
        </w:rPr>
        <w:t>,</w:t>
      </w:r>
      <w:r w:rsidR="00827669">
        <w:rPr>
          <w:rFonts w:ascii="Times New Roman" w:hAnsi="Times New Roman"/>
          <w:sz w:val="28"/>
          <w:szCs w:val="28"/>
        </w:rPr>
        <w:t xml:space="preserve"> перечисленная предприятиями в консолидированный областной бюджет в первом квартале 2013 года</w:t>
      </w:r>
      <w:r w:rsidR="00FA7ACC">
        <w:rPr>
          <w:rFonts w:ascii="Times New Roman" w:hAnsi="Times New Roman"/>
          <w:sz w:val="28"/>
          <w:szCs w:val="28"/>
        </w:rPr>
        <w:t>,</w:t>
      </w:r>
      <w:r w:rsidR="00827669">
        <w:rPr>
          <w:rFonts w:ascii="Times New Roman" w:hAnsi="Times New Roman"/>
          <w:sz w:val="28"/>
          <w:szCs w:val="28"/>
        </w:rPr>
        <w:t xml:space="preserve"> почему то в отчет за 2012 год не попала, также как и в этом году. Возможно, изменились порядки перечисления части этого налога в федеральный бюджет. Но ссылок по этому вопросу я нигде не нашел.</w:t>
      </w:r>
    </w:p>
    <w:p w:rsidR="00BC57F3" w:rsidRPr="0001609C" w:rsidRDefault="008E0379" w:rsidP="008276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09C">
        <w:rPr>
          <w:rFonts w:ascii="Times New Roman" w:hAnsi="Times New Roman"/>
          <w:sz w:val="28"/>
          <w:szCs w:val="28"/>
        </w:rPr>
        <w:t xml:space="preserve">Таблица </w:t>
      </w:r>
      <w:r w:rsidR="0071573A">
        <w:rPr>
          <w:rFonts w:ascii="Times New Roman" w:hAnsi="Times New Roman"/>
          <w:sz w:val="28"/>
          <w:szCs w:val="28"/>
        </w:rPr>
        <w:t>3</w:t>
      </w:r>
      <w:r w:rsidRPr="0001609C">
        <w:rPr>
          <w:rFonts w:ascii="Times New Roman" w:hAnsi="Times New Roman"/>
          <w:sz w:val="28"/>
          <w:szCs w:val="28"/>
        </w:rPr>
        <w:t xml:space="preserve">. </w:t>
      </w:r>
      <w:r w:rsidR="00BC57F3" w:rsidRPr="0001609C">
        <w:rPr>
          <w:rFonts w:ascii="Times New Roman" w:hAnsi="Times New Roman"/>
          <w:sz w:val="28"/>
          <w:szCs w:val="28"/>
        </w:rPr>
        <w:t>Доходы областного бюджета по отдельным налогам (в млн.рублей</w:t>
      </w:r>
      <w:r w:rsidR="00827669">
        <w:rPr>
          <w:rFonts w:ascii="Times New Roman" w:hAnsi="Times New Roman"/>
          <w:sz w:val="28"/>
          <w:szCs w:val="28"/>
        </w:rPr>
        <w:t>, д</w:t>
      </w:r>
      <w:r w:rsidR="00BC57F3" w:rsidRPr="0001609C">
        <w:rPr>
          <w:rFonts w:ascii="Times New Roman" w:hAnsi="Times New Roman"/>
          <w:sz w:val="28"/>
          <w:szCs w:val="28"/>
        </w:rPr>
        <w:t>анные по 2014 году – план</w:t>
      </w:r>
      <w:r w:rsidR="00827669">
        <w:rPr>
          <w:rFonts w:ascii="Times New Roman" w:hAnsi="Times New Roman"/>
          <w:sz w:val="28"/>
          <w:szCs w:val="28"/>
        </w:rPr>
        <w:t>)</w:t>
      </w:r>
      <w:r w:rsidR="00BC57F3" w:rsidRPr="0001609C">
        <w:rPr>
          <w:rFonts w:ascii="Times New Roman" w:hAnsi="Times New Roman"/>
          <w:sz w:val="28"/>
          <w:szCs w:val="28"/>
        </w:rPr>
        <w:t>.</w:t>
      </w:r>
    </w:p>
    <w:tbl>
      <w:tblPr>
        <w:tblW w:w="9404" w:type="dxa"/>
        <w:tblInd w:w="98" w:type="dxa"/>
        <w:tblLook w:val="04A0"/>
      </w:tblPr>
      <w:tblGrid>
        <w:gridCol w:w="2704"/>
        <w:gridCol w:w="960"/>
        <w:gridCol w:w="960"/>
        <w:gridCol w:w="960"/>
        <w:gridCol w:w="960"/>
        <w:gridCol w:w="960"/>
        <w:gridCol w:w="960"/>
        <w:gridCol w:w="940"/>
      </w:tblGrid>
      <w:tr w:rsidR="00BC57F3" w:rsidRPr="00BC57F3" w:rsidTr="00BC57F3">
        <w:trPr>
          <w:trHeight w:val="300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BC57F3" w:rsidRPr="00BC57F3" w:rsidTr="00BC57F3">
        <w:trPr>
          <w:trHeight w:val="30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8419</w:t>
            </w:r>
          </w:p>
        </w:tc>
      </w:tr>
      <w:tr w:rsidR="00BC57F3" w:rsidRPr="00BC57F3" w:rsidTr="00BC57F3">
        <w:trPr>
          <w:trHeight w:val="30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10753</w:t>
            </w:r>
          </w:p>
        </w:tc>
      </w:tr>
      <w:tr w:rsidR="00BC57F3" w:rsidRPr="00BC57F3" w:rsidTr="00BC57F3">
        <w:trPr>
          <w:trHeight w:val="30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3931</w:t>
            </w:r>
          </w:p>
        </w:tc>
      </w:tr>
      <w:tr w:rsidR="00BC57F3" w:rsidRPr="00BC57F3" w:rsidTr="00BC57F3">
        <w:trPr>
          <w:trHeight w:val="31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полезные ископаемые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7F3" w:rsidRPr="00BC57F3" w:rsidRDefault="00BC57F3" w:rsidP="00BC5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1713</w:t>
            </w:r>
          </w:p>
        </w:tc>
      </w:tr>
    </w:tbl>
    <w:p w:rsidR="006A7060" w:rsidRDefault="006A7060" w:rsidP="0001609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7F3" w:rsidRDefault="00FA7ACC" w:rsidP="000160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другие налоги растут. </w:t>
      </w:r>
      <w:r w:rsidR="00827669">
        <w:rPr>
          <w:rFonts w:ascii="Times New Roman" w:hAnsi="Times New Roman"/>
          <w:sz w:val="28"/>
          <w:szCs w:val="28"/>
        </w:rPr>
        <w:t>Из таблицы 3 мы видим, что более трехсот миллионов рублей дополнительно по сравнению с прошлым году мы получили в бюджет по налогу на имущество.</w:t>
      </w:r>
    </w:p>
    <w:p w:rsidR="00827669" w:rsidRDefault="00827669" w:rsidP="008276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рисунке 1 видно как упали поступления в бюджет по налогу на прибыль предприятий и по НДФЛ. </w:t>
      </w:r>
      <w:r w:rsidR="00FA7ACC">
        <w:rPr>
          <w:rFonts w:ascii="Times New Roman" w:hAnsi="Times New Roman"/>
          <w:sz w:val="28"/>
          <w:szCs w:val="28"/>
        </w:rPr>
        <w:t>Чтобы исправить ситуацию</w:t>
      </w:r>
      <w:r>
        <w:rPr>
          <w:rFonts w:ascii="Times New Roman" w:hAnsi="Times New Roman"/>
          <w:sz w:val="28"/>
          <w:szCs w:val="28"/>
        </w:rPr>
        <w:t>, области нужно и дальше наращивать потенциал сельского хозяйства, поддерживать реализацию инфраструктурных проектов, а также новые стройки федерального значения. Без них у правительства области не будет ресурс</w:t>
      </w:r>
      <w:r w:rsidR="00FA7AC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на дальнейшее улучшение социальной сферы, коммунального и дорожного хозяйства.</w:t>
      </w:r>
    </w:p>
    <w:p w:rsidR="007C6C7D" w:rsidRPr="0001609C" w:rsidRDefault="007C6C7D" w:rsidP="008276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все существующие формы поддержки развития малого бизнеса в течение последних пяти лет доходы от его деятельности едва превышают </w:t>
      </w:r>
      <w:r w:rsidR="00FA622B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1,3 млрд.рублей</w:t>
      </w:r>
      <w:r w:rsidR="00FA622B">
        <w:rPr>
          <w:rFonts w:ascii="Times New Roman" w:hAnsi="Times New Roman"/>
          <w:sz w:val="28"/>
          <w:szCs w:val="28"/>
        </w:rPr>
        <w:t xml:space="preserve"> в последние пять лет</w:t>
      </w:r>
      <w:r>
        <w:rPr>
          <w:rFonts w:ascii="Times New Roman" w:hAnsi="Times New Roman"/>
          <w:sz w:val="28"/>
          <w:szCs w:val="28"/>
        </w:rPr>
        <w:t xml:space="preserve">. Хотя известно, что более половины населения в Амурской области работают в сфере мелкого частного предпринимательства. Получается, что все государственные средства уходят на поддержку начинающих предпринимателей. При этом </w:t>
      </w:r>
      <w:r w:rsidR="00FA622B">
        <w:rPr>
          <w:rFonts w:ascii="Times New Roman" w:hAnsi="Times New Roman"/>
          <w:sz w:val="28"/>
          <w:szCs w:val="28"/>
        </w:rPr>
        <w:t xml:space="preserve">малые </w:t>
      </w:r>
      <w:r>
        <w:rPr>
          <w:rFonts w:ascii="Times New Roman" w:hAnsi="Times New Roman"/>
          <w:sz w:val="28"/>
          <w:szCs w:val="28"/>
        </w:rPr>
        <w:t>компании</w:t>
      </w:r>
      <w:r w:rsidR="00FA622B">
        <w:rPr>
          <w:rFonts w:ascii="Times New Roman" w:hAnsi="Times New Roman"/>
          <w:sz w:val="28"/>
          <w:szCs w:val="28"/>
        </w:rPr>
        <w:t>, работающие по 10-20 лет, по прежнему подвергаются пристрастному контролю со стороны силовиков и контролирующих организаций. В результате средняя зарплата в малом бизнесе не превышает 20-25 тысяч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57F3" w:rsidRPr="0001609C" w:rsidRDefault="00AD349A" w:rsidP="008276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C57F3" w:rsidRPr="0001609C">
        <w:rPr>
          <w:rFonts w:ascii="Times New Roman" w:hAnsi="Times New Roman"/>
          <w:sz w:val="28"/>
          <w:szCs w:val="28"/>
        </w:rPr>
        <w:t xml:space="preserve">Рис. </w:t>
      </w:r>
      <w:r w:rsidR="008E0379" w:rsidRPr="0001609C">
        <w:rPr>
          <w:rFonts w:ascii="Times New Roman" w:hAnsi="Times New Roman"/>
          <w:sz w:val="28"/>
          <w:szCs w:val="28"/>
        </w:rPr>
        <w:t xml:space="preserve">1. </w:t>
      </w:r>
      <w:r w:rsidR="00BC57F3" w:rsidRPr="0001609C">
        <w:rPr>
          <w:rFonts w:ascii="Times New Roman" w:hAnsi="Times New Roman"/>
          <w:sz w:val="28"/>
          <w:szCs w:val="28"/>
        </w:rPr>
        <w:t>Доходы областного бюджета по отдельным налогам (в млн.рублей)</w:t>
      </w:r>
    </w:p>
    <w:p w:rsidR="00BC57F3" w:rsidRPr="0001609C" w:rsidRDefault="008D2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1738" cy="2909320"/>
            <wp:effectExtent l="11256" t="5330" r="2931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349A" w:rsidRDefault="00AD349A" w:rsidP="00AD3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09C">
        <w:rPr>
          <w:rFonts w:ascii="Times New Roman" w:hAnsi="Times New Roman"/>
          <w:sz w:val="28"/>
          <w:szCs w:val="28"/>
        </w:rPr>
        <w:t>Хотя на взгляд граждан Амурской области</w:t>
      </w:r>
      <w:r>
        <w:rPr>
          <w:rFonts w:ascii="Times New Roman" w:hAnsi="Times New Roman"/>
          <w:sz w:val="28"/>
          <w:szCs w:val="28"/>
        </w:rPr>
        <w:t>, первоочередная задача</w:t>
      </w:r>
      <w:r w:rsidRPr="0001609C">
        <w:rPr>
          <w:rFonts w:ascii="Times New Roman" w:hAnsi="Times New Roman"/>
          <w:sz w:val="28"/>
          <w:szCs w:val="28"/>
        </w:rPr>
        <w:t xml:space="preserve"> власти изыскивать средства в инвестирование тех направлений экономики, которые способны увеличивать доходы бюджета</w:t>
      </w:r>
      <w:r>
        <w:rPr>
          <w:rFonts w:ascii="Times New Roman" w:hAnsi="Times New Roman"/>
          <w:sz w:val="28"/>
          <w:szCs w:val="28"/>
        </w:rPr>
        <w:t>,</w:t>
      </w:r>
      <w:r w:rsidRPr="0001609C">
        <w:rPr>
          <w:rFonts w:ascii="Times New Roman" w:hAnsi="Times New Roman"/>
          <w:sz w:val="28"/>
          <w:szCs w:val="28"/>
        </w:rPr>
        <w:t xml:space="preserve"> повышать его финансовую устойчивость</w:t>
      </w:r>
      <w:r>
        <w:rPr>
          <w:rFonts w:ascii="Times New Roman" w:hAnsi="Times New Roman"/>
          <w:sz w:val="28"/>
          <w:szCs w:val="28"/>
        </w:rPr>
        <w:t xml:space="preserve"> и иметь больше средств на улучшение жизненно важных направлений, указанных в начале рецензии.</w:t>
      </w:r>
      <w:r w:rsidRPr="0001609C">
        <w:rPr>
          <w:rFonts w:ascii="Times New Roman" w:hAnsi="Times New Roman"/>
          <w:sz w:val="28"/>
          <w:szCs w:val="28"/>
        </w:rPr>
        <w:t xml:space="preserve"> </w:t>
      </w:r>
      <w:r w:rsidR="00FA7ACC">
        <w:rPr>
          <w:rFonts w:ascii="Times New Roman" w:hAnsi="Times New Roman"/>
          <w:sz w:val="28"/>
          <w:szCs w:val="28"/>
        </w:rPr>
        <w:t>Существующий малый бизнес является одной из таких отраслей.</w:t>
      </w:r>
    </w:p>
    <w:p w:rsidR="00D05F63" w:rsidRDefault="00FA7ACC" w:rsidP="00FA7A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на исполнение 19 долгосрочных целевых программ из бюджета затрачено 8,3 млрд.рублей. Это на 2 млрд.рублей больше, чем в 2012 году. Перечень целевых программ как нельзя лучше отражает приоритеты органов власти. </w:t>
      </w:r>
      <w:r w:rsidR="00D05F63">
        <w:rPr>
          <w:rFonts w:ascii="Times New Roman" w:hAnsi="Times New Roman"/>
          <w:sz w:val="28"/>
          <w:szCs w:val="28"/>
        </w:rPr>
        <w:t>В последние годы они определены более четко. Но в 2013 году основное внимание было уделено программам по обеспечению качественным жильем и услугами ЖКХ, по развитию сельского хозяйства, а также строительству сети автомобильных дорог общего пользования. Этого потребовали и обстоятельства, связанные с наводнением, которое нанесло урон инфраструктуре области, и существующие планы по опережающему развитию инфраструктуры области и ее основной отрасли – сельского хозяйства.</w:t>
      </w:r>
    </w:p>
    <w:p w:rsidR="00FA7ACC" w:rsidRPr="0001609C" w:rsidRDefault="00D05F63" w:rsidP="00FA7A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можно сделать вывод о хорошем уровне оперативного управления бюджетом Амурской области в 2013 году. Недостатком является отсутствие внутренних стандартов планирования и исполнения бюджета, которые позволили бы повысить инициативу министерств и муниципальных управленцев с одной стороны. С другой стороны, </w:t>
      </w:r>
      <w:r w:rsidR="0078480C">
        <w:rPr>
          <w:rFonts w:ascii="Times New Roman" w:hAnsi="Times New Roman"/>
          <w:sz w:val="28"/>
          <w:szCs w:val="28"/>
        </w:rPr>
        <w:t>наличие стандартов дало бы</w:t>
      </w:r>
      <w:r>
        <w:rPr>
          <w:rFonts w:ascii="Times New Roman" w:hAnsi="Times New Roman"/>
          <w:sz w:val="28"/>
          <w:szCs w:val="28"/>
        </w:rPr>
        <w:t xml:space="preserve"> возможност</w:t>
      </w:r>
      <w:r w:rsidR="0078480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населени</w:t>
      </w:r>
      <w:r w:rsidR="0078480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включаться в процесс обсуждения главного для него вопроса – «куда идут налоги, которые они платят?». </w:t>
      </w:r>
    </w:p>
    <w:p w:rsidR="0001609C" w:rsidRPr="0001609C" w:rsidRDefault="0001609C" w:rsidP="0001609C">
      <w:pPr>
        <w:jc w:val="both"/>
        <w:rPr>
          <w:rFonts w:ascii="Times New Roman" w:hAnsi="Times New Roman"/>
          <w:sz w:val="28"/>
          <w:szCs w:val="28"/>
        </w:rPr>
      </w:pPr>
    </w:p>
    <w:p w:rsidR="0001609C" w:rsidRDefault="0001609C" w:rsidP="0001609C">
      <w:pPr>
        <w:pStyle w:val="a7"/>
        <w:ind w:firstLine="0"/>
        <w:jc w:val="both"/>
        <w:rPr>
          <w:sz w:val="28"/>
          <w:szCs w:val="28"/>
        </w:rPr>
      </w:pPr>
      <w:r w:rsidRPr="00B61B1E">
        <w:rPr>
          <w:sz w:val="28"/>
          <w:szCs w:val="28"/>
        </w:rPr>
        <w:t xml:space="preserve">Эксперт Общественной палаты Амурской области, </w:t>
      </w:r>
    </w:p>
    <w:p w:rsidR="0001609C" w:rsidRDefault="0001609C" w:rsidP="0001609C">
      <w:pPr>
        <w:pStyle w:val="a7"/>
        <w:ind w:firstLine="0"/>
        <w:jc w:val="both"/>
        <w:rPr>
          <w:sz w:val="28"/>
          <w:szCs w:val="28"/>
        </w:rPr>
      </w:pPr>
      <w:r w:rsidRPr="00B61B1E">
        <w:rPr>
          <w:sz w:val="28"/>
          <w:szCs w:val="28"/>
        </w:rPr>
        <w:t>кандидат геол</w:t>
      </w:r>
      <w:r>
        <w:rPr>
          <w:sz w:val="28"/>
          <w:szCs w:val="28"/>
        </w:rPr>
        <w:t>.</w:t>
      </w:r>
      <w:r w:rsidRPr="00B61B1E">
        <w:rPr>
          <w:sz w:val="28"/>
          <w:szCs w:val="28"/>
        </w:rPr>
        <w:t>-мин</w:t>
      </w:r>
      <w:r>
        <w:rPr>
          <w:sz w:val="28"/>
          <w:szCs w:val="28"/>
        </w:rPr>
        <w:t>.</w:t>
      </w:r>
      <w:r w:rsidRPr="00B61B1E">
        <w:rPr>
          <w:sz w:val="28"/>
          <w:szCs w:val="28"/>
        </w:rPr>
        <w:t xml:space="preserve"> наук, </w:t>
      </w:r>
    </w:p>
    <w:p w:rsidR="0001609C" w:rsidRDefault="0001609C" w:rsidP="0001609C">
      <w:pPr>
        <w:pStyle w:val="a7"/>
        <w:ind w:firstLine="0"/>
        <w:jc w:val="both"/>
        <w:rPr>
          <w:sz w:val="28"/>
          <w:szCs w:val="28"/>
        </w:rPr>
      </w:pPr>
      <w:r w:rsidRPr="00B61B1E">
        <w:rPr>
          <w:sz w:val="28"/>
          <w:szCs w:val="28"/>
        </w:rPr>
        <w:t>магистр по управлению бизнесом</w:t>
      </w:r>
      <w:r>
        <w:rPr>
          <w:sz w:val="28"/>
          <w:szCs w:val="28"/>
        </w:rPr>
        <w:t xml:space="preserve"> (МВА)</w:t>
      </w:r>
      <w:r w:rsidRPr="00B61B1E">
        <w:rPr>
          <w:sz w:val="28"/>
          <w:szCs w:val="28"/>
        </w:rPr>
        <w:t xml:space="preserve">, </w:t>
      </w:r>
    </w:p>
    <w:p w:rsidR="0001609C" w:rsidRDefault="0001609C" w:rsidP="008D224A">
      <w:pPr>
        <w:pStyle w:val="a7"/>
        <w:ind w:firstLine="0"/>
        <w:jc w:val="both"/>
        <w:rPr>
          <w:sz w:val="28"/>
          <w:szCs w:val="28"/>
        </w:rPr>
      </w:pPr>
      <w:r w:rsidRPr="00B61B1E">
        <w:rPr>
          <w:sz w:val="28"/>
          <w:szCs w:val="28"/>
        </w:rPr>
        <w:t>доцент кафедры экономики и управления БГПУ</w:t>
      </w:r>
      <w:r w:rsidR="008D224A">
        <w:rPr>
          <w:sz w:val="28"/>
          <w:szCs w:val="28"/>
        </w:rPr>
        <w:tab/>
      </w:r>
      <w:r w:rsidR="008D224A">
        <w:rPr>
          <w:sz w:val="28"/>
          <w:szCs w:val="28"/>
        </w:rPr>
        <w:tab/>
        <w:t xml:space="preserve">      </w:t>
      </w:r>
      <w:r w:rsidRPr="00B61B1E">
        <w:rPr>
          <w:sz w:val="28"/>
          <w:szCs w:val="28"/>
        </w:rPr>
        <w:t>Конюшок А.А.</w:t>
      </w:r>
    </w:p>
    <w:p w:rsidR="0001609C" w:rsidRDefault="0001609C">
      <w:pPr>
        <w:rPr>
          <w:rFonts w:ascii="Times New Roman" w:hAnsi="Times New Roman"/>
          <w:sz w:val="24"/>
          <w:szCs w:val="24"/>
        </w:rPr>
      </w:pPr>
    </w:p>
    <w:p w:rsidR="0078480C" w:rsidRPr="0078480C" w:rsidRDefault="0078480C" w:rsidP="008D224A">
      <w:pPr>
        <w:jc w:val="right"/>
        <w:rPr>
          <w:rFonts w:ascii="Times New Roman" w:hAnsi="Times New Roman"/>
          <w:sz w:val="28"/>
          <w:szCs w:val="28"/>
        </w:rPr>
      </w:pPr>
      <w:r w:rsidRPr="0078480C">
        <w:rPr>
          <w:rFonts w:ascii="Times New Roman" w:hAnsi="Times New Roman"/>
          <w:sz w:val="28"/>
          <w:szCs w:val="28"/>
        </w:rPr>
        <w:t>16 июня 2014 года</w:t>
      </w:r>
    </w:p>
    <w:sectPr w:rsidR="0078480C" w:rsidRPr="0078480C" w:rsidSect="002008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26" w:rsidRDefault="00583B26" w:rsidP="006C5494">
      <w:pPr>
        <w:spacing w:after="0" w:line="240" w:lineRule="auto"/>
      </w:pPr>
      <w:r>
        <w:separator/>
      </w:r>
    </w:p>
  </w:endnote>
  <w:endnote w:type="continuationSeparator" w:id="1">
    <w:p w:rsidR="00583B26" w:rsidRDefault="00583B26" w:rsidP="006C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94" w:rsidRDefault="006C5494">
    <w:pPr>
      <w:pStyle w:val="aa"/>
      <w:jc w:val="right"/>
    </w:pPr>
    <w:fldSimple w:instr=" PAGE   \* MERGEFORMAT ">
      <w:r w:rsidR="00583B26">
        <w:rPr>
          <w:noProof/>
        </w:rPr>
        <w:t>1</w:t>
      </w:r>
    </w:fldSimple>
  </w:p>
  <w:p w:rsidR="006C5494" w:rsidRDefault="006C54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26" w:rsidRDefault="00583B26" w:rsidP="006C5494">
      <w:pPr>
        <w:spacing w:after="0" w:line="240" w:lineRule="auto"/>
      </w:pPr>
      <w:r>
        <w:separator/>
      </w:r>
    </w:p>
  </w:footnote>
  <w:footnote w:type="continuationSeparator" w:id="1">
    <w:p w:rsidR="00583B26" w:rsidRDefault="00583B26" w:rsidP="006C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2B3"/>
    <w:multiLevelType w:val="hybridMultilevel"/>
    <w:tmpl w:val="98FEB9FA"/>
    <w:lvl w:ilvl="0" w:tplc="BC941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A73D84"/>
    <w:multiLevelType w:val="hybridMultilevel"/>
    <w:tmpl w:val="A2FE9BB4"/>
    <w:lvl w:ilvl="0" w:tplc="CA06D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57F3"/>
    <w:rsid w:val="0001609C"/>
    <w:rsid w:val="000D592A"/>
    <w:rsid w:val="000D6952"/>
    <w:rsid w:val="000F01D4"/>
    <w:rsid w:val="00110C6E"/>
    <w:rsid w:val="0020087F"/>
    <w:rsid w:val="0024152B"/>
    <w:rsid w:val="002A5CBC"/>
    <w:rsid w:val="00391F10"/>
    <w:rsid w:val="00395C62"/>
    <w:rsid w:val="003A5376"/>
    <w:rsid w:val="004269D3"/>
    <w:rsid w:val="004407AC"/>
    <w:rsid w:val="00472E0D"/>
    <w:rsid w:val="004A6E71"/>
    <w:rsid w:val="005756F5"/>
    <w:rsid w:val="00583B26"/>
    <w:rsid w:val="006A7060"/>
    <w:rsid w:val="006C5494"/>
    <w:rsid w:val="006F4B70"/>
    <w:rsid w:val="0071573A"/>
    <w:rsid w:val="0078480C"/>
    <w:rsid w:val="007C6C7D"/>
    <w:rsid w:val="007D4078"/>
    <w:rsid w:val="00827669"/>
    <w:rsid w:val="008A26A2"/>
    <w:rsid w:val="008D224A"/>
    <w:rsid w:val="008E0379"/>
    <w:rsid w:val="00911B56"/>
    <w:rsid w:val="009960F8"/>
    <w:rsid w:val="00A0330D"/>
    <w:rsid w:val="00A07EAA"/>
    <w:rsid w:val="00AD349A"/>
    <w:rsid w:val="00BC57F3"/>
    <w:rsid w:val="00C0095B"/>
    <w:rsid w:val="00C04804"/>
    <w:rsid w:val="00C07844"/>
    <w:rsid w:val="00D05F63"/>
    <w:rsid w:val="00D33444"/>
    <w:rsid w:val="00FA622B"/>
    <w:rsid w:val="00FA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016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609C"/>
    <w:pPr>
      <w:ind w:firstLine="567"/>
    </w:pPr>
    <w:rPr>
      <w:rFonts w:ascii="Times New Roman" w:hAnsi="Times New Roman"/>
      <w:sz w:val="24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C54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549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C54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549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1;&#1102;&#1076;&#1078;&#1077;&#1090;%20&#1086;&#1073;&#1083;&#1072;&#1089;&#1090;&#1080;%202013\&#1085;&#1072;&#1083;&#1086;&#1075;&#1080;%20&#1074;%20&#1073;&#1102;&#1076;&#1078;&#1077;&#1090;%20&#1079;&#1072;%205%20&#1083;&#1077;&#109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198869372097715E-2"/>
          <c:y val="3.9058996253436645E-2"/>
          <c:w val="0.89718771839910572"/>
          <c:h val="0.72974494283201463"/>
        </c:manualLayout>
      </c:layout>
      <c:lineChart>
        <c:grouping val="standard"/>
        <c:ser>
          <c:idx val="0"/>
          <c:order val="0"/>
          <c:tx>
            <c:strRef>
              <c:f>Лист1!$A$3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dLbls>
            <c:dLbl>
              <c:idx val="0"/>
              <c:layout>
                <c:manualLayout>
                  <c:x val="-9.8619329388560314E-3"/>
                  <c:y val="-5.6288478452066783E-2"/>
                </c:manualLayout>
              </c:layout>
              <c:showVal val="1"/>
            </c:dLbl>
            <c:dLbl>
              <c:idx val="3"/>
              <c:layout>
                <c:manualLayout>
                  <c:x val="-7.2320006104729301E-17"/>
                  <c:y val="4.9252418645558516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7590149516270862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3.518029903254178E-2"/>
                </c:manualLayout>
              </c:layout>
              <c:showVal val="1"/>
            </c:dLbl>
            <c:showVal val="1"/>
          </c:dLbls>
          <c:cat>
            <c:numRef>
              <c:f>Лист1!$B$2:$H$2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4737</c:v>
                </c:pt>
                <c:pt idx="1">
                  <c:v>5434</c:v>
                </c:pt>
                <c:pt idx="2">
                  <c:v>7458</c:v>
                </c:pt>
                <c:pt idx="3">
                  <c:v>8518</c:v>
                </c:pt>
                <c:pt idx="4">
                  <c:v>9433</c:v>
                </c:pt>
                <c:pt idx="5">
                  <c:v>8068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Налог на доходы физлиц</c:v>
                </c:pt>
              </c:strCache>
            </c:strRef>
          </c:tx>
          <c:dLbls>
            <c:dLbl>
              <c:idx val="0"/>
              <c:layout>
                <c:manualLayout>
                  <c:x val="-1.5779092702169626E-2"/>
                  <c:y val="-4.9252418645558516E-2"/>
                </c:manualLayout>
              </c:layout>
              <c:showVal val="1"/>
            </c:dLbl>
            <c:dLbl>
              <c:idx val="1"/>
              <c:layout>
                <c:manualLayout>
                  <c:x val="3.9447731755424473E-3"/>
                  <c:y val="2.11081794195251E-2"/>
                </c:manualLayout>
              </c:layout>
              <c:showVal val="1"/>
            </c:dLbl>
            <c:dLbl>
              <c:idx val="4"/>
              <c:layout>
                <c:manualLayout>
                  <c:x val="3.9447731755424108E-3"/>
                  <c:y val="3.166226912928760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2.4626209322779258E-2"/>
                </c:manualLayout>
              </c:layout>
              <c:showVal val="1"/>
            </c:dLbl>
            <c:showVal val="1"/>
          </c:dLbls>
          <c:cat>
            <c:numRef>
              <c:f>Лист1!$B$2:$H$2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8720</c:v>
                </c:pt>
                <c:pt idx="1">
                  <c:v>9716</c:v>
                </c:pt>
                <c:pt idx="2">
                  <c:v>10350</c:v>
                </c:pt>
                <c:pt idx="3">
                  <c:v>11858</c:v>
                </c:pt>
                <c:pt idx="4" formatCode="0">
                  <c:v>7875.3</c:v>
                </c:pt>
                <c:pt idx="5">
                  <c:v>8482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Налог на имущество</c:v>
                </c:pt>
              </c:strCache>
            </c:strRef>
          </c:tx>
          <c:dLbls>
            <c:dLbl>
              <c:idx val="0"/>
              <c:layout>
                <c:manualLayout>
                  <c:x val="-1.3806706114398421E-2"/>
                  <c:y val="-3.8698328935795952E-2"/>
                </c:manualLayout>
              </c:layout>
              <c:showVal val="1"/>
            </c:dLbl>
            <c:dLbl>
              <c:idx val="1"/>
              <c:layout>
                <c:manualLayout>
                  <c:x val="-3.9447731755423753E-3"/>
                  <c:y val="-4.221635883905013E-2"/>
                </c:manualLayout>
              </c:layout>
              <c:showVal val="1"/>
            </c:dLbl>
            <c:dLbl>
              <c:idx val="2"/>
              <c:layout>
                <c:manualLayout>
                  <c:x val="-1.9723865877712067E-3"/>
                  <c:y val="-4.221635883905013E-2"/>
                </c:manualLayout>
              </c:layout>
              <c:showVal val="1"/>
            </c:dLbl>
            <c:dLbl>
              <c:idx val="3"/>
              <c:layout>
                <c:manualLayout>
                  <c:x val="-7.2320006104729301E-17"/>
                  <c:y val="-2.814423922603343E-2"/>
                </c:manualLayout>
              </c:layout>
              <c:showVal val="1"/>
            </c:dLbl>
            <c:dLbl>
              <c:idx val="4"/>
              <c:layout>
                <c:manualLayout>
                  <c:x val="-3.9447731755424108E-3"/>
                  <c:y val="-5.6288478452066783E-2"/>
                </c:manualLayout>
              </c:layout>
              <c:showVal val="1"/>
            </c:dLbl>
            <c:showVal val="1"/>
          </c:dLbls>
          <c:cat>
            <c:numRef>
              <c:f>Лист1!$B$2:$H$2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2190</c:v>
                </c:pt>
                <c:pt idx="1">
                  <c:v>2580</c:v>
                </c:pt>
                <c:pt idx="2">
                  <c:v>2996</c:v>
                </c:pt>
                <c:pt idx="3">
                  <c:v>2779</c:v>
                </c:pt>
                <c:pt idx="4">
                  <c:v>3359</c:v>
                </c:pt>
                <c:pt idx="5">
                  <c:v>3611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Налог на полезные ископаемые</c:v>
                </c:pt>
              </c:strCache>
            </c:strRef>
          </c:tx>
          <c:marker>
            <c:symbol val="circle"/>
            <c:size val="7"/>
          </c:marker>
          <c:dLbls>
            <c:dLbl>
              <c:idx val="0"/>
              <c:layout>
                <c:manualLayout>
                  <c:x val="-5.9171597633136145E-3"/>
                  <c:y val="-4.221635883905013E-2"/>
                </c:manualLayout>
              </c:layout>
              <c:showVal val="1"/>
            </c:dLbl>
            <c:dLbl>
              <c:idx val="1"/>
              <c:layout>
                <c:manualLayout>
                  <c:x val="3.6160003052364644E-17"/>
                  <c:y val="-3.869832893579595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4.221635883905013E-2"/>
                </c:manualLayout>
              </c:layout>
              <c:showVal val="1"/>
            </c:dLbl>
            <c:dLbl>
              <c:idx val="3"/>
              <c:layout>
                <c:manualLayout>
                  <c:x val="5.9171597633135425E-3"/>
                  <c:y val="3.518029903254178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3.1662269129287601E-2"/>
                </c:manualLayout>
              </c:layout>
              <c:showVal val="1"/>
            </c:dLbl>
            <c:showVal val="1"/>
          </c:dLbls>
          <c:cat>
            <c:numRef>
              <c:f>Лист1!$B$2:$H$2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Лист1!$B$6:$G$6</c:f>
              <c:numCache>
                <c:formatCode>General</c:formatCode>
                <c:ptCount val="6"/>
                <c:pt idx="0">
                  <c:v>469</c:v>
                </c:pt>
                <c:pt idx="1">
                  <c:v>777</c:v>
                </c:pt>
                <c:pt idx="2">
                  <c:v>918</c:v>
                </c:pt>
                <c:pt idx="3">
                  <c:v>1578</c:v>
                </c:pt>
                <c:pt idx="4">
                  <c:v>1840</c:v>
                </c:pt>
                <c:pt idx="5">
                  <c:v>1700</c:v>
                </c:pt>
              </c:numCache>
            </c:numRef>
          </c:val>
        </c:ser>
        <c:marker val="1"/>
        <c:axId val="86884736"/>
        <c:axId val="86886272"/>
      </c:lineChart>
      <c:catAx>
        <c:axId val="86884736"/>
        <c:scaling>
          <c:orientation val="minMax"/>
        </c:scaling>
        <c:axPos val="b"/>
        <c:numFmt formatCode="General" sourceLinked="1"/>
        <c:tickLblPos val="nextTo"/>
        <c:crossAx val="86886272"/>
        <c:crosses val="autoZero"/>
        <c:auto val="1"/>
        <c:lblAlgn val="ctr"/>
        <c:lblOffset val="100"/>
      </c:catAx>
      <c:valAx>
        <c:axId val="86886272"/>
        <c:scaling>
          <c:orientation val="minMax"/>
        </c:scaling>
        <c:axPos val="l"/>
        <c:majorGridlines/>
        <c:numFmt formatCode="General" sourceLinked="0"/>
        <c:tickLblPos val="nextTo"/>
        <c:crossAx val="8688473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Ирины и Андрея</dc:creator>
  <cp:lastModifiedBy>user</cp:lastModifiedBy>
  <cp:revision>2</cp:revision>
  <cp:lastPrinted>2014-06-15T10:31:00Z</cp:lastPrinted>
  <dcterms:created xsi:type="dcterms:W3CDTF">2014-06-15T23:33:00Z</dcterms:created>
  <dcterms:modified xsi:type="dcterms:W3CDTF">2014-06-15T23:33:00Z</dcterms:modified>
</cp:coreProperties>
</file>